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7E519" w14:textId="77777777" w:rsidR="00981B4F" w:rsidRDefault="00981B4F" w:rsidP="001663EC">
      <w:pPr>
        <w:spacing w:after="9" w:line="249" w:lineRule="auto"/>
        <w:ind w:left="166"/>
        <w:jc w:val="center"/>
      </w:pPr>
      <w:bookmarkStart w:id="0" w:name="_GoBack"/>
      <w:bookmarkEnd w:id="0"/>
      <w:r>
        <w:rPr>
          <w:b/>
        </w:rPr>
        <w:t xml:space="preserve">BEFORE THE  </w:t>
      </w:r>
    </w:p>
    <w:p w14:paraId="022CAFED" w14:textId="45BA3CA8" w:rsidR="00981B4F" w:rsidRDefault="00981B4F" w:rsidP="001663EC">
      <w:pPr>
        <w:spacing w:after="493" w:line="249" w:lineRule="auto"/>
        <w:ind w:left="1188"/>
        <w:jc w:val="center"/>
      </w:pPr>
      <w:r>
        <w:rPr>
          <w:b/>
        </w:rPr>
        <w:t xml:space="preserve">FEDERAL COMMUNICATIONS COMMISSION WASHINGTON, </w:t>
      </w:r>
      <w:r w:rsidR="001663EC">
        <w:rPr>
          <w:b/>
        </w:rPr>
        <w:t>D</w:t>
      </w:r>
      <w:r>
        <w:rPr>
          <w:b/>
        </w:rPr>
        <w:t>.C.</w:t>
      </w:r>
    </w:p>
    <w:p w14:paraId="7473E1E9" w14:textId="77777777" w:rsidR="001663EC" w:rsidRDefault="001663EC" w:rsidP="00981B4F">
      <w:pPr>
        <w:tabs>
          <w:tab w:val="center" w:pos="4739"/>
        </w:tabs>
        <w:ind w:left="-15" w:firstLine="0"/>
      </w:pPr>
    </w:p>
    <w:p w14:paraId="0765C149" w14:textId="77777777" w:rsidR="00981B4F" w:rsidRDefault="00981B4F" w:rsidP="00981B4F">
      <w:pPr>
        <w:tabs>
          <w:tab w:val="center" w:pos="4739"/>
        </w:tabs>
        <w:ind w:left="-15" w:firstLine="0"/>
      </w:pPr>
      <w:r>
        <w:t xml:space="preserve">In the Matter of </w:t>
      </w:r>
      <w:r>
        <w:tab/>
      </w:r>
      <w:r>
        <w:rPr>
          <w:b/>
        </w:rPr>
        <w:t xml:space="preserve">) </w:t>
      </w:r>
    </w:p>
    <w:p w14:paraId="65B4CB1C" w14:textId="77777777" w:rsidR="00981B4F" w:rsidRDefault="00981B4F" w:rsidP="00981B4F">
      <w:pPr>
        <w:spacing w:after="9" w:line="249" w:lineRule="auto"/>
        <w:ind w:left="166"/>
        <w:jc w:val="center"/>
      </w:pPr>
      <w:r>
        <w:rPr>
          <w:b/>
        </w:rPr>
        <w:t xml:space="preserve">) </w:t>
      </w:r>
    </w:p>
    <w:p w14:paraId="63E0EDD7" w14:textId="77777777" w:rsidR="00981B4F" w:rsidRDefault="00981B4F" w:rsidP="00981B4F">
      <w:pPr>
        <w:tabs>
          <w:tab w:val="center" w:pos="4739"/>
          <w:tab w:val="center" w:pos="6451"/>
        </w:tabs>
        <w:ind w:left="-15" w:firstLine="0"/>
      </w:pPr>
      <w:r>
        <w:t xml:space="preserve">Promoting Innovation and Competition in the </w:t>
      </w:r>
      <w:r>
        <w:tab/>
      </w:r>
      <w:r>
        <w:rPr>
          <w:b/>
        </w:rPr>
        <w:t xml:space="preserve">) </w:t>
      </w:r>
      <w:r>
        <w:rPr>
          <w:b/>
        </w:rPr>
        <w:tab/>
      </w:r>
      <w:r>
        <w:t xml:space="preserve">MB Docket No. 14-261 </w:t>
      </w:r>
    </w:p>
    <w:p w14:paraId="47114B9D" w14:textId="77777777" w:rsidR="00981B4F" w:rsidRDefault="00981B4F" w:rsidP="00981B4F">
      <w:pPr>
        <w:tabs>
          <w:tab w:val="center" w:pos="4739"/>
        </w:tabs>
        <w:ind w:left="-15" w:firstLine="0"/>
      </w:pPr>
      <w:r>
        <w:t xml:space="preserve">Provision of Multichannel Video </w:t>
      </w:r>
      <w:r>
        <w:tab/>
      </w:r>
      <w:r>
        <w:rPr>
          <w:b/>
        </w:rPr>
        <w:t xml:space="preserve">) </w:t>
      </w:r>
    </w:p>
    <w:p w14:paraId="7D8E9F32" w14:textId="77777777" w:rsidR="00FA79FB" w:rsidRDefault="00981B4F" w:rsidP="00FA79FB">
      <w:pPr>
        <w:tabs>
          <w:tab w:val="center" w:pos="4739"/>
        </w:tabs>
        <w:spacing w:after="1097"/>
        <w:ind w:left="-15" w:firstLine="0"/>
        <w:rPr>
          <w:b/>
        </w:rPr>
      </w:pPr>
      <w:r>
        <w:t xml:space="preserve">Programming Distribution Services </w:t>
      </w:r>
      <w:r>
        <w:tab/>
      </w:r>
      <w:r>
        <w:rPr>
          <w:b/>
        </w:rPr>
        <w:t xml:space="preserve">) </w:t>
      </w:r>
    </w:p>
    <w:p w14:paraId="637E4735" w14:textId="77777777" w:rsidR="007975F6" w:rsidRDefault="00B77A3A" w:rsidP="007975F6">
      <w:pPr>
        <w:pStyle w:val="Heading1"/>
        <w:numPr>
          <w:ilvl w:val="0"/>
          <w:numId w:val="0"/>
        </w:numPr>
        <w:ind w:left="-5"/>
        <w:jc w:val="center"/>
      </w:pPr>
      <w:r>
        <w:t xml:space="preserve">REPLY </w:t>
      </w:r>
      <w:r w:rsidR="00981B4F">
        <w:t xml:space="preserve">COMMENTS OF </w:t>
      </w:r>
      <w:r w:rsidR="007975F6">
        <w:t>THE</w:t>
      </w:r>
    </w:p>
    <w:p w14:paraId="7E7EBACE" w14:textId="77777777" w:rsidR="00981B4F" w:rsidRDefault="00B77A3A" w:rsidP="007975F6">
      <w:pPr>
        <w:pStyle w:val="Heading1"/>
        <w:numPr>
          <w:ilvl w:val="0"/>
          <w:numId w:val="0"/>
        </w:numPr>
        <w:ind w:left="-5"/>
        <w:jc w:val="center"/>
      </w:pPr>
      <w:r>
        <w:t>NORTHWEST SUBURBS CABLE COMMUNICATIONS COMMISSION</w:t>
      </w:r>
    </w:p>
    <w:p w14:paraId="5ED16905" w14:textId="77777777" w:rsidR="0033592F" w:rsidRDefault="0033592F" w:rsidP="0033592F">
      <w:pPr>
        <w:jc w:val="center"/>
        <w:rPr>
          <w:b/>
        </w:rPr>
      </w:pPr>
      <w:r>
        <w:rPr>
          <w:b/>
        </w:rPr>
        <w:t xml:space="preserve">&amp; </w:t>
      </w:r>
    </w:p>
    <w:p w14:paraId="22B6CC25" w14:textId="0C33E6FD" w:rsidR="0033592F" w:rsidRPr="0033592F" w:rsidRDefault="00D44E0F" w:rsidP="0033592F">
      <w:pPr>
        <w:jc w:val="center"/>
        <w:rPr>
          <w:b/>
        </w:rPr>
      </w:pPr>
      <w:r>
        <w:rPr>
          <w:b/>
        </w:rPr>
        <w:t xml:space="preserve">THE </w:t>
      </w:r>
      <w:r w:rsidR="0033592F">
        <w:rPr>
          <w:b/>
        </w:rPr>
        <w:t xml:space="preserve">NORTHWEST SUBURBS </w:t>
      </w:r>
      <w:r w:rsidR="00F47A84">
        <w:rPr>
          <w:b/>
        </w:rPr>
        <w:t>COMMUNITY TELEVISION</w:t>
      </w:r>
    </w:p>
    <w:p w14:paraId="59C26D6C" w14:textId="77777777" w:rsidR="00B77A3A" w:rsidRDefault="00B77A3A" w:rsidP="005412E7">
      <w:pPr>
        <w:ind w:left="0" w:firstLine="0"/>
      </w:pPr>
    </w:p>
    <w:p w14:paraId="12ECBB1A" w14:textId="77777777" w:rsidR="00FA79FB" w:rsidRDefault="00FA79FB" w:rsidP="005412E7">
      <w:pPr>
        <w:ind w:left="0" w:firstLine="0"/>
      </w:pPr>
    </w:p>
    <w:p w14:paraId="2C2C3804" w14:textId="77777777" w:rsidR="00C01AB0" w:rsidRDefault="00C01AB0" w:rsidP="005412E7">
      <w:pPr>
        <w:ind w:left="0" w:firstLine="0"/>
      </w:pPr>
    </w:p>
    <w:p w14:paraId="376DB078" w14:textId="77777777" w:rsidR="00C01AB0" w:rsidRDefault="00C01AB0" w:rsidP="005412E7">
      <w:pPr>
        <w:ind w:left="0" w:firstLine="0"/>
      </w:pPr>
    </w:p>
    <w:p w14:paraId="0617BC38" w14:textId="77777777" w:rsidR="00C01AB0" w:rsidRDefault="00C01AB0" w:rsidP="005412E7">
      <w:pPr>
        <w:ind w:left="0" w:firstLine="0"/>
      </w:pPr>
    </w:p>
    <w:p w14:paraId="579C74E7" w14:textId="77777777" w:rsidR="00C01AB0" w:rsidRDefault="00C01AB0" w:rsidP="005412E7">
      <w:pPr>
        <w:ind w:left="0" w:firstLine="0"/>
      </w:pPr>
    </w:p>
    <w:p w14:paraId="283DA37A" w14:textId="77777777" w:rsidR="00C01AB0" w:rsidRDefault="00C01AB0" w:rsidP="005412E7">
      <w:pPr>
        <w:ind w:left="0" w:firstLine="0"/>
      </w:pPr>
    </w:p>
    <w:p w14:paraId="4844ACEF" w14:textId="77777777" w:rsidR="00C01AB0" w:rsidRDefault="00C01AB0" w:rsidP="005412E7">
      <w:pPr>
        <w:ind w:left="0" w:firstLine="0"/>
      </w:pPr>
    </w:p>
    <w:p w14:paraId="0DAB1B47" w14:textId="77777777" w:rsidR="00C01AB0" w:rsidRDefault="00C01AB0" w:rsidP="005412E7">
      <w:pPr>
        <w:ind w:left="0" w:firstLine="0"/>
      </w:pPr>
    </w:p>
    <w:p w14:paraId="78422D16" w14:textId="77777777" w:rsidR="00C01AB0" w:rsidRDefault="00C01AB0" w:rsidP="005412E7">
      <w:pPr>
        <w:ind w:left="0" w:firstLine="0"/>
      </w:pPr>
    </w:p>
    <w:p w14:paraId="24BFD85A" w14:textId="77777777" w:rsidR="002E6AA5" w:rsidRDefault="002E6AA5" w:rsidP="005412E7">
      <w:pPr>
        <w:ind w:left="0" w:firstLine="0"/>
      </w:pPr>
    </w:p>
    <w:p w14:paraId="6EDBCC0F" w14:textId="77777777" w:rsidR="002E6AA5" w:rsidRDefault="002E6AA5" w:rsidP="005412E7">
      <w:pPr>
        <w:ind w:left="0" w:firstLine="0"/>
      </w:pPr>
    </w:p>
    <w:p w14:paraId="36083520" w14:textId="5536C2F9" w:rsidR="002E6AA5" w:rsidRDefault="00C01AB0" w:rsidP="002E6AA5">
      <w:pPr>
        <w:jc w:val="both"/>
      </w:pPr>
      <w:r>
        <w:t>Michael Johnson</w:t>
      </w:r>
      <w:r w:rsidR="002E6AA5">
        <w:tab/>
      </w:r>
      <w:r w:rsidR="002E6AA5">
        <w:tab/>
      </w:r>
      <w:r w:rsidR="002E6AA5">
        <w:tab/>
      </w:r>
      <w:r w:rsidR="002E6AA5">
        <w:tab/>
      </w:r>
      <w:r w:rsidR="002E6AA5">
        <w:tab/>
        <w:t>Adrian Herbst</w:t>
      </w:r>
    </w:p>
    <w:p w14:paraId="73EAD574" w14:textId="6EA76064" w:rsidR="002E6AA5" w:rsidRDefault="002E6AA5" w:rsidP="002E6AA5">
      <w:pPr>
        <w:jc w:val="both"/>
      </w:pPr>
      <w:r>
        <w:tab/>
      </w:r>
      <w:r w:rsidR="00C01AB0">
        <w:t>Executive Director &amp; General Manager</w:t>
      </w:r>
      <w:r>
        <w:tab/>
      </w:r>
      <w:r>
        <w:tab/>
      </w:r>
      <w:r w:rsidRPr="00F0376B">
        <w:t>Leslie Saporito</w:t>
      </w:r>
    </w:p>
    <w:p w14:paraId="130BBDBA" w14:textId="553B4EDF" w:rsidR="002E6AA5" w:rsidRPr="00FD3FBE" w:rsidRDefault="00C01AB0" w:rsidP="002E6AA5">
      <w:pPr>
        <w:jc w:val="both"/>
      </w:pPr>
      <w:r>
        <w:tab/>
        <w:t>NWSCCC &amp; NWCT</w:t>
      </w:r>
      <w:r w:rsidR="002E6AA5">
        <w:tab/>
      </w:r>
      <w:r w:rsidR="002E6AA5">
        <w:tab/>
      </w:r>
      <w:r w:rsidR="002E6AA5">
        <w:tab/>
      </w:r>
      <w:r w:rsidR="002E6AA5">
        <w:tab/>
      </w:r>
      <w:r w:rsidR="002E6AA5">
        <w:tab/>
        <w:t>Sean Stokes</w:t>
      </w:r>
    </w:p>
    <w:p w14:paraId="214FDF2C" w14:textId="1FB83498" w:rsidR="002E6AA5" w:rsidRDefault="002E6AA5" w:rsidP="002E6AA5">
      <w:pPr>
        <w:jc w:val="both"/>
      </w:pPr>
      <w:r>
        <w:tab/>
      </w:r>
      <w:r w:rsidR="00C01AB0">
        <w:t>6900 Winnetka Avenue North</w:t>
      </w:r>
      <w:r>
        <w:tab/>
      </w:r>
      <w:r>
        <w:tab/>
      </w:r>
      <w:r>
        <w:tab/>
        <w:t>BALLER HERBST STOKES &amp; LIDE, P.C.</w:t>
      </w:r>
    </w:p>
    <w:p w14:paraId="10314D1D" w14:textId="027389FD" w:rsidR="002E6AA5" w:rsidRDefault="00C01AB0" w:rsidP="002E6AA5">
      <w:pPr>
        <w:jc w:val="both"/>
      </w:pPr>
      <w:r>
        <w:t>Brooklyn Park, MN  55428</w:t>
      </w:r>
      <w:r w:rsidR="002E6AA5">
        <w:tab/>
      </w:r>
      <w:r>
        <w:tab/>
      </w:r>
      <w:r w:rsidR="002E6AA5">
        <w:tab/>
      </w:r>
      <w:r w:rsidR="002E6AA5">
        <w:tab/>
        <w:t>280N Grain Exchange Building</w:t>
      </w:r>
    </w:p>
    <w:p w14:paraId="4E6818DE" w14:textId="25816C21" w:rsidR="002E6AA5" w:rsidRDefault="00C01AB0" w:rsidP="002E6AA5">
      <w:pPr>
        <w:jc w:val="both"/>
      </w:pPr>
      <w:r>
        <w:t>Office:  763-533-8196</w:t>
      </w:r>
      <w:r>
        <w:tab/>
      </w:r>
      <w:r w:rsidR="002E6AA5">
        <w:tab/>
      </w:r>
      <w:r w:rsidR="002E6AA5">
        <w:tab/>
      </w:r>
      <w:r w:rsidR="002E6AA5">
        <w:tab/>
      </w:r>
      <w:r w:rsidR="002E6AA5">
        <w:tab/>
        <w:t>301 Fourth Avenue South</w:t>
      </w:r>
    </w:p>
    <w:p w14:paraId="0A8ED37E" w14:textId="70D98EAD" w:rsidR="002E6AA5" w:rsidRDefault="002E6AA5" w:rsidP="002E6AA5">
      <w:pPr>
        <w:jc w:val="both"/>
      </w:pPr>
      <w:r>
        <w:tab/>
      </w:r>
      <w:r>
        <w:tab/>
      </w:r>
      <w:r>
        <w:tab/>
      </w:r>
      <w:r>
        <w:tab/>
      </w:r>
      <w:r w:rsidR="00C01AB0">
        <w:tab/>
      </w:r>
      <w:r w:rsidR="00C01AB0">
        <w:tab/>
      </w:r>
      <w:r w:rsidR="00C01AB0">
        <w:tab/>
      </w:r>
      <w:r w:rsidR="00C01AB0">
        <w:tab/>
      </w:r>
      <w:r>
        <w:t>Minneapolis, MN  55415</w:t>
      </w:r>
    </w:p>
    <w:p w14:paraId="24545042" w14:textId="0FCDBC65" w:rsidR="002E6AA5" w:rsidRDefault="002E6AA5" w:rsidP="002E6AA5">
      <w:pPr>
        <w:ind w:left="0" w:firstLine="0"/>
        <w:jc w:val="both"/>
      </w:pPr>
      <w:r>
        <w:tab/>
      </w:r>
      <w:r>
        <w:tab/>
      </w:r>
      <w:r>
        <w:tab/>
      </w:r>
      <w:r>
        <w:tab/>
      </w:r>
      <w:r w:rsidR="00C01AB0">
        <w:tab/>
      </w:r>
      <w:r w:rsidR="00C01AB0">
        <w:tab/>
      </w:r>
      <w:r w:rsidR="00C01AB0">
        <w:tab/>
      </w:r>
      <w:r>
        <w:t>Office:  612-339-2026</w:t>
      </w:r>
    </w:p>
    <w:p w14:paraId="5197B264" w14:textId="0F8859CC" w:rsidR="002E6AA5" w:rsidRDefault="002E6AA5" w:rsidP="002E6AA5">
      <w:pPr>
        <w:ind w:left="0" w:firstLine="0"/>
        <w:jc w:val="both"/>
      </w:pPr>
      <w:r>
        <w:tab/>
      </w:r>
      <w:r>
        <w:tab/>
      </w:r>
      <w:r>
        <w:tab/>
      </w:r>
      <w:r>
        <w:tab/>
      </w:r>
      <w:r w:rsidR="00C01AB0">
        <w:tab/>
      </w:r>
      <w:r w:rsidR="00C01AB0">
        <w:tab/>
      </w:r>
      <w:r w:rsidR="00C01AB0">
        <w:tab/>
      </w:r>
      <w:r>
        <w:t>Fax:  612- 339-4789</w:t>
      </w:r>
    </w:p>
    <w:p w14:paraId="43A38BEE" w14:textId="77777777" w:rsidR="002E6AA5" w:rsidRDefault="002E6AA5" w:rsidP="002E6AA5">
      <w:pPr>
        <w:ind w:left="0" w:firstLine="0"/>
        <w:jc w:val="both"/>
      </w:pPr>
      <w:r>
        <w:tab/>
      </w:r>
      <w:r>
        <w:tab/>
      </w:r>
      <w:r>
        <w:tab/>
      </w:r>
      <w:r>
        <w:tab/>
      </w:r>
      <w:r>
        <w:tab/>
      </w:r>
      <w:r>
        <w:tab/>
      </w:r>
      <w:r>
        <w:tab/>
      </w:r>
    </w:p>
    <w:p w14:paraId="743C0EFC" w14:textId="5A689C9E" w:rsidR="002E6AA5" w:rsidRPr="00680E81" w:rsidRDefault="002E6AA5" w:rsidP="00680E81">
      <w:pPr>
        <w:ind w:left="5040" w:firstLine="0"/>
        <w:jc w:val="both"/>
      </w:pPr>
      <w:r w:rsidRPr="00680E81">
        <w:t xml:space="preserve">Counsel for </w:t>
      </w:r>
      <w:r w:rsidR="00680E81" w:rsidRPr="00680E81">
        <w:t>Northwest Suburbs Cable Communications Commission &amp; Northwest Suburbs Community Television</w:t>
      </w:r>
    </w:p>
    <w:p w14:paraId="013053B7" w14:textId="77777777" w:rsidR="002E6AA5" w:rsidRPr="00B77A3A" w:rsidRDefault="002E6AA5" w:rsidP="005412E7">
      <w:pPr>
        <w:ind w:left="0" w:firstLine="0"/>
      </w:pPr>
    </w:p>
    <w:p w14:paraId="5A476644" w14:textId="77777777" w:rsidR="002E6AA5" w:rsidRPr="00653634" w:rsidRDefault="002E6AA5" w:rsidP="002E6AA5">
      <w:pPr>
        <w:rPr>
          <w:rFonts w:ascii="Arial" w:hAnsi="Arial" w:cs="Arial"/>
          <w:b/>
          <w:sz w:val="20"/>
        </w:rPr>
        <w:sectPr w:rsidR="002E6AA5" w:rsidRPr="00653634">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sectPr>
      </w:pPr>
    </w:p>
    <w:p w14:paraId="002B20A3" w14:textId="77777777" w:rsidR="002E6AA5" w:rsidRPr="002E6AA5" w:rsidRDefault="002E6AA5" w:rsidP="002E6AA5">
      <w:pPr>
        <w:rPr>
          <w:b/>
          <w:color w:val="3024CC"/>
          <w:szCs w:val="24"/>
        </w:rPr>
      </w:pPr>
    </w:p>
    <w:p w14:paraId="118FD034" w14:textId="315DC910" w:rsidR="002E6AA5" w:rsidRPr="002E6AA5" w:rsidRDefault="002E6AA5" w:rsidP="002E6AA5">
      <w:pPr>
        <w:jc w:val="center"/>
        <w:rPr>
          <w:color w:val="auto"/>
          <w:sz w:val="28"/>
          <w:szCs w:val="24"/>
        </w:rPr>
      </w:pPr>
      <w:r w:rsidRPr="002E6AA5">
        <w:rPr>
          <w:color w:val="auto"/>
          <w:sz w:val="28"/>
          <w:szCs w:val="24"/>
        </w:rPr>
        <w:t>Table of Contents</w:t>
      </w:r>
    </w:p>
    <w:p w14:paraId="55331D34" w14:textId="77777777" w:rsidR="002E6AA5" w:rsidRPr="002E6AA5" w:rsidRDefault="002E6AA5" w:rsidP="002E6AA5">
      <w:pPr>
        <w:pStyle w:val="Header"/>
        <w:ind w:left="7920"/>
        <w:rPr>
          <w:szCs w:val="24"/>
        </w:rPr>
      </w:pPr>
    </w:p>
    <w:p w14:paraId="0B0D4E2B" w14:textId="2BAD39C0" w:rsidR="00C01AB0" w:rsidRDefault="002E6AA5" w:rsidP="00C01AB0">
      <w:pPr>
        <w:pStyle w:val="Header"/>
        <w:tabs>
          <w:tab w:val="clear" w:pos="9360"/>
          <w:tab w:val="left" w:pos="9540"/>
        </w:tabs>
        <w:ind w:left="8010" w:firstLine="1250"/>
        <w:rPr>
          <w:noProof/>
        </w:rPr>
      </w:pPr>
      <w:r>
        <w:rPr>
          <w:b/>
          <w:bCs/>
          <w:szCs w:val="24"/>
        </w:rPr>
        <w:tab/>
      </w:r>
      <w:r w:rsidRPr="002E6AA5">
        <w:rPr>
          <w:b/>
          <w:bCs/>
          <w:szCs w:val="24"/>
          <w:u w:val="single"/>
        </w:rPr>
        <w:t>Page</w:t>
      </w:r>
      <w:r w:rsidRPr="002E6AA5">
        <w:rPr>
          <w:bCs/>
          <w:spacing w:val="20"/>
          <w:szCs w:val="24"/>
        </w:rPr>
        <w:fldChar w:fldCharType="begin"/>
      </w:r>
      <w:r w:rsidRPr="002E6AA5">
        <w:rPr>
          <w:bCs/>
          <w:spacing w:val="20"/>
          <w:szCs w:val="24"/>
        </w:rPr>
        <w:instrText xml:space="preserve"> TOC \f </w:instrText>
      </w:r>
      <w:r w:rsidRPr="002E6AA5">
        <w:rPr>
          <w:bCs/>
          <w:spacing w:val="20"/>
          <w:szCs w:val="24"/>
        </w:rPr>
        <w:fldChar w:fldCharType="separate"/>
      </w:r>
    </w:p>
    <w:p w14:paraId="2A424259" w14:textId="77777777" w:rsidR="00C01AB0" w:rsidRDefault="00C01AB0" w:rsidP="00860EDF">
      <w:pPr>
        <w:pStyle w:val="TOC1"/>
        <w:rPr>
          <w:noProof/>
        </w:rPr>
      </w:pPr>
    </w:p>
    <w:p w14:paraId="1B6CA23A" w14:textId="77777777" w:rsidR="001663EC" w:rsidRDefault="001663EC" w:rsidP="00860EDF">
      <w:pPr>
        <w:pStyle w:val="TOC1"/>
        <w:rPr>
          <w:noProof/>
        </w:rPr>
      </w:pPr>
    </w:p>
    <w:p w14:paraId="187C6D2A" w14:textId="72568546" w:rsidR="00C01AB0" w:rsidRDefault="00D44E0F" w:rsidP="00860EDF">
      <w:pPr>
        <w:pStyle w:val="TOC1"/>
        <w:rPr>
          <w:rFonts w:asciiTheme="minorHAnsi" w:eastAsiaTheme="minorEastAsia" w:hAnsiTheme="minorHAnsi" w:cstheme="minorBidi"/>
          <w:noProof/>
          <w:sz w:val="22"/>
          <w:szCs w:val="22"/>
        </w:rPr>
      </w:pPr>
      <w:r>
        <w:rPr>
          <w:noProof/>
          <w:spacing w:val="-3"/>
        </w:rPr>
        <w:t>I.</w:t>
      </w:r>
      <w:r>
        <w:rPr>
          <w:noProof/>
          <w:spacing w:val="-3"/>
        </w:rPr>
        <w:tab/>
      </w:r>
      <w:r w:rsidR="00C01AB0" w:rsidRPr="00EF0E48">
        <w:rPr>
          <w:noProof/>
          <w:spacing w:val="-3"/>
        </w:rPr>
        <w:t>Introduction and Summary</w:t>
      </w:r>
      <w:r w:rsidR="00C01AB0">
        <w:rPr>
          <w:noProof/>
        </w:rPr>
        <w:tab/>
      </w:r>
      <w:r w:rsidR="00C01AB0">
        <w:rPr>
          <w:noProof/>
        </w:rPr>
        <w:fldChar w:fldCharType="begin"/>
      </w:r>
      <w:r w:rsidR="00C01AB0">
        <w:rPr>
          <w:noProof/>
        </w:rPr>
        <w:instrText xml:space="preserve"> PAGEREF _Toc414871132 \h </w:instrText>
      </w:r>
      <w:r w:rsidR="00C01AB0">
        <w:rPr>
          <w:noProof/>
        </w:rPr>
      </w:r>
      <w:r w:rsidR="00C01AB0">
        <w:rPr>
          <w:noProof/>
        </w:rPr>
        <w:fldChar w:fldCharType="separate"/>
      </w:r>
      <w:r w:rsidR="00D12542">
        <w:rPr>
          <w:noProof/>
        </w:rPr>
        <w:t>1</w:t>
      </w:r>
      <w:r w:rsidR="00C01AB0">
        <w:rPr>
          <w:noProof/>
        </w:rPr>
        <w:fldChar w:fldCharType="end"/>
      </w:r>
    </w:p>
    <w:p w14:paraId="4AF81471" w14:textId="77777777" w:rsidR="00C01AB0" w:rsidRDefault="00C01AB0" w:rsidP="00860EDF">
      <w:pPr>
        <w:pStyle w:val="TOC1"/>
        <w:rPr>
          <w:noProof/>
        </w:rPr>
      </w:pPr>
    </w:p>
    <w:p w14:paraId="1CAEA0F5" w14:textId="77777777" w:rsidR="001663EC" w:rsidRDefault="001663EC" w:rsidP="00860EDF">
      <w:pPr>
        <w:pStyle w:val="TOC1"/>
        <w:rPr>
          <w:noProof/>
        </w:rPr>
      </w:pPr>
    </w:p>
    <w:p w14:paraId="787497CE" w14:textId="6EC58073" w:rsidR="00C01AB0" w:rsidRDefault="001663EC" w:rsidP="00860EDF">
      <w:pPr>
        <w:pStyle w:val="TOC1"/>
        <w:rPr>
          <w:rFonts w:asciiTheme="minorHAnsi" w:eastAsiaTheme="minorEastAsia" w:hAnsiTheme="minorHAnsi" w:cstheme="minorBidi"/>
          <w:noProof/>
          <w:sz w:val="22"/>
          <w:szCs w:val="22"/>
        </w:rPr>
      </w:pPr>
      <w:r>
        <w:rPr>
          <w:noProof/>
        </w:rPr>
        <w:tab/>
      </w:r>
      <w:r w:rsidR="00D44E0F">
        <w:rPr>
          <w:noProof/>
        </w:rPr>
        <w:t>A.</w:t>
      </w:r>
      <w:r w:rsidR="00C01AB0">
        <w:rPr>
          <w:noProof/>
        </w:rPr>
        <w:t xml:space="preserve">.  </w:t>
      </w:r>
      <w:r w:rsidR="00C01AB0" w:rsidRPr="00EF0E48">
        <w:rPr>
          <w:noProof/>
        </w:rPr>
        <w:t>Managed Linear IP Video is a Cable Service</w:t>
      </w:r>
      <w:r w:rsidR="00C01AB0">
        <w:rPr>
          <w:noProof/>
        </w:rPr>
        <w:tab/>
      </w:r>
      <w:r w:rsidR="00C01AB0">
        <w:rPr>
          <w:noProof/>
        </w:rPr>
        <w:fldChar w:fldCharType="begin"/>
      </w:r>
      <w:r w:rsidR="00C01AB0">
        <w:rPr>
          <w:noProof/>
        </w:rPr>
        <w:instrText xml:space="preserve"> PAGEREF _Toc414871133 \h </w:instrText>
      </w:r>
      <w:r w:rsidR="00C01AB0">
        <w:rPr>
          <w:noProof/>
        </w:rPr>
      </w:r>
      <w:r w:rsidR="00C01AB0">
        <w:rPr>
          <w:noProof/>
        </w:rPr>
        <w:fldChar w:fldCharType="separate"/>
      </w:r>
      <w:r w:rsidR="00D12542">
        <w:rPr>
          <w:noProof/>
        </w:rPr>
        <w:t>4</w:t>
      </w:r>
      <w:r w:rsidR="00C01AB0">
        <w:rPr>
          <w:noProof/>
        </w:rPr>
        <w:fldChar w:fldCharType="end"/>
      </w:r>
    </w:p>
    <w:p w14:paraId="2A35112A" w14:textId="77777777" w:rsidR="00C01AB0" w:rsidRDefault="00C01AB0" w:rsidP="00860EDF">
      <w:pPr>
        <w:pStyle w:val="TOC1"/>
        <w:rPr>
          <w:noProof/>
        </w:rPr>
      </w:pPr>
    </w:p>
    <w:p w14:paraId="72618D79" w14:textId="77777777" w:rsidR="001663EC" w:rsidRDefault="001663EC" w:rsidP="00860EDF">
      <w:pPr>
        <w:pStyle w:val="TOC1"/>
        <w:rPr>
          <w:noProof/>
        </w:rPr>
      </w:pPr>
    </w:p>
    <w:p w14:paraId="2BF0B8D7" w14:textId="29DDBF6E" w:rsidR="00C01AB0" w:rsidRDefault="001663EC" w:rsidP="00860EDF">
      <w:pPr>
        <w:pStyle w:val="TOC1"/>
        <w:rPr>
          <w:rFonts w:asciiTheme="minorHAnsi" w:eastAsiaTheme="minorEastAsia" w:hAnsiTheme="minorHAnsi" w:cstheme="minorBidi"/>
          <w:noProof/>
          <w:sz w:val="22"/>
          <w:szCs w:val="22"/>
        </w:rPr>
      </w:pPr>
      <w:r>
        <w:rPr>
          <w:noProof/>
        </w:rPr>
        <w:tab/>
      </w:r>
      <w:r w:rsidR="00D44E0F">
        <w:rPr>
          <w:noProof/>
        </w:rPr>
        <w:t>B</w:t>
      </w:r>
      <w:r w:rsidR="00C01AB0">
        <w:rPr>
          <w:noProof/>
        </w:rPr>
        <w:t xml:space="preserve">.  </w:t>
      </w:r>
      <w:r w:rsidR="00C01AB0" w:rsidRPr="00EF0E48">
        <w:rPr>
          <w:noProof/>
        </w:rPr>
        <w:t>OTT Over a Cable System is a Cable Service</w:t>
      </w:r>
      <w:r w:rsidR="00C01AB0">
        <w:rPr>
          <w:noProof/>
        </w:rPr>
        <w:tab/>
      </w:r>
      <w:r w:rsidR="00C01AB0">
        <w:rPr>
          <w:noProof/>
        </w:rPr>
        <w:fldChar w:fldCharType="begin"/>
      </w:r>
      <w:r w:rsidR="00C01AB0">
        <w:rPr>
          <w:noProof/>
        </w:rPr>
        <w:instrText xml:space="preserve"> PAGEREF _Toc414871134 \h </w:instrText>
      </w:r>
      <w:r w:rsidR="00C01AB0">
        <w:rPr>
          <w:noProof/>
        </w:rPr>
      </w:r>
      <w:r w:rsidR="00C01AB0">
        <w:rPr>
          <w:noProof/>
        </w:rPr>
        <w:fldChar w:fldCharType="separate"/>
      </w:r>
      <w:r w:rsidR="00D12542">
        <w:rPr>
          <w:noProof/>
        </w:rPr>
        <w:t>7</w:t>
      </w:r>
      <w:r w:rsidR="00C01AB0">
        <w:rPr>
          <w:noProof/>
        </w:rPr>
        <w:fldChar w:fldCharType="end"/>
      </w:r>
    </w:p>
    <w:p w14:paraId="50E03121" w14:textId="77777777" w:rsidR="00C01AB0" w:rsidRDefault="00C01AB0" w:rsidP="00860EDF">
      <w:pPr>
        <w:pStyle w:val="TOC1"/>
        <w:rPr>
          <w:noProof/>
        </w:rPr>
      </w:pPr>
    </w:p>
    <w:p w14:paraId="237D5D2F" w14:textId="77777777" w:rsidR="001663EC" w:rsidRDefault="001663EC" w:rsidP="00860EDF">
      <w:pPr>
        <w:pStyle w:val="TOC1"/>
        <w:rPr>
          <w:noProof/>
        </w:rPr>
      </w:pPr>
    </w:p>
    <w:p w14:paraId="4CEFE573" w14:textId="12D98131" w:rsidR="00C01AB0" w:rsidRDefault="00D44E0F" w:rsidP="00860EDF">
      <w:pPr>
        <w:pStyle w:val="TOC1"/>
        <w:rPr>
          <w:rFonts w:asciiTheme="minorHAnsi" w:eastAsiaTheme="minorEastAsia" w:hAnsiTheme="minorHAnsi" w:cstheme="minorBidi"/>
          <w:noProof/>
          <w:sz w:val="22"/>
          <w:szCs w:val="22"/>
        </w:rPr>
      </w:pPr>
      <w:r>
        <w:rPr>
          <w:noProof/>
          <w:spacing w:val="-3"/>
        </w:rPr>
        <w:t>II.</w:t>
      </w:r>
      <w:r>
        <w:rPr>
          <w:noProof/>
          <w:spacing w:val="-3"/>
        </w:rPr>
        <w:tab/>
      </w:r>
      <w:r w:rsidR="00C01AB0" w:rsidRPr="00EF0E48">
        <w:rPr>
          <w:noProof/>
          <w:spacing w:val="-3"/>
        </w:rPr>
        <w:t>Conclusion</w:t>
      </w:r>
      <w:r w:rsidR="00C01AB0">
        <w:rPr>
          <w:noProof/>
        </w:rPr>
        <w:tab/>
      </w:r>
      <w:r w:rsidR="00C01AB0">
        <w:rPr>
          <w:noProof/>
        </w:rPr>
        <w:fldChar w:fldCharType="begin"/>
      </w:r>
      <w:r w:rsidR="00C01AB0">
        <w:rPr>
          <w:noProof/>
        </w:rPr>
        <w:instrText xml:space="preserve"> PAGEREF _Toc414871135 \h </w:instrText>
      </w:r>
      <w:r w:rsidR="00C01AB0">
        <w:rPr>
          <w:noProof/>
        </w:rPr>
      </w:r>
      <w:r w:rsidR="00C01AB0">
        <w:rPr>
          <w:noProof/>
        </w:rPr>
        <w:fldChar w:fldCharType="separate"/>
      </w:r>
      <w:r w:rsidR="00D12542">
        <w:rPr>
          <w:noProof/>
        </w:rPr>
        <w:t>9</w:t>
      </w:r>
      <w:r w:rsidR="00C01AB0">
        <w:rPr>
          <w:noProof/>
        </w:rPr>
        <w:fldChar w:fldCharType="end"/>
      </w:r>
    </w:p>
    <w:p w14:paraId="211AC555" w14:textId="77777777" w:rsidR="002E6AA5" w:rsidRPr="002E6AA5" w:rsidRDefault="002E6AA5" w:rsidP="002E6AA5">
      <w:pPr>
        <w:tabs>
          <w:tab w:val="left" w:pos="720"/>
        </w:tabs>
        <w:spacing w:line="360" w:lineRule="auto"/>
        <w:rPr>
          <w:bCs/>
          <w:spacing w:val="20"/>
          <w:szCs w:val="24"/>
        </w:rPr>
        <w:sectPr w:rsidR="002E6AA5" w:rsidRPr="002E6AA5">
          <w:headerReference w:type="default" r:id="rId12"/>
          <w:footerReference w:type="first" r:id="rId13"/>
          <w:pgSz w:w="12240" w:h="15840" w:code="1"/>
          <w:pgMar w:top="1080" w:right="1080" w:bottom="1080" w:left="1080" w:header="720" w:footer="720" w:gutter="0"/>
          <w:cols w:space="720"/>
        </w:sectPr>
      </w:pPr>
      <w:r w:rsidRPr="002E6AA5">
        <w:rPr>
          <w:bCs/>
          <w:spacing w:val="20"/>
          <w:szCs w:val="24"/>
        </w:rPr>
        <w:fldChar w:fldCharType="end"/>
      </w:r>
    </w:p>
    <w:p w14:paraId="1D1F892A" w14:textId="77777777" w:rsidR="00D44E0F" w:rsidRDefault="00D44E0F" w:rsidP="00D44E0F">
      <w:pPr>
        <w:spacing w:after="9" w:line="249" w:lineRule="auto"/>
        <w:ind w:left="166"/>
        <w:jc w:val="center"/>
      </w:pPr>
      <w:r>
        <w:rPr>
          <w:b/>
        </w:rPr>
        <w:lastRenderedPageBreak/>
        <w:t xml:space="preserve">BEFORE THE  </w:t>
      </w:r>
    </w:p>
    <w:p w14:paraId="5DDDCFDF" w14:textId="77777777" w:rsidR="00D44E0F" w:rsidRDefault="00D44E0F" w:rsidP="00D44E0F">
      <w:pPr>
        <w:spacing w:after="493" w:line="249" w:lineRule="auto"/>
        <w:ind w:left="1188"/>
        <w:jc w:val="center"/>
      </w:pPr>
      <w:r>
        <w:rPr>
          <w:b/>
        </w:rPr>
        <w:t>FEDERAL COMMUNICATIONS COMMISSION WASHINGTON, D.C.</w:t>
      </w:r>
    </w:p>
    <w:p w14:paraId="217C8005" w14:textId="77777777" w:rsidR="00D44E0F" w:rsidRDefault="00D44E0F" w:rsidP="00D44E0F">
      <w:pPr>
        <w:tabs>
          <w:tab w:val="center" w:pos="4739"/>
        </w:tabs>
        <w:ind w:left="-15" w:firstLine="0"/>
      </w:pPr>
    </w:p>
    <w:p w14:paraId="404809C5" w14:textId="77777777" w:rsidR="00D44E0F" w:rsidRDefault="00D44E0F" w:rsidP="00D44E0F">
      <w:pPr>
        <w:tabs>
          <w:tab w:val="center" w:pos="4739"/>
        </w:tabs>
        <w:ind w:left="-15" w:firstLine="0"/>
      </w:pPr>
      <w:r>
        <w:t xml:space="preserve">In the Matter of </w:t>
      </w:r>
      <w:r>
        <w:tab/>
      </w:r>
      <w:r>
        <w:rPr>
          <w:b/>
        </w:rPr>
        <w:t xml:space="preserve">) </w:t>
      </w:r>
    </w:p>
    <w:p w14:paraId="26ABAF1F" w14:textId="77777777" w:rsidR="00D44E0F" w:rsidRDefault="00D44E0F" w:rsidP="00D44E0F">
      <w:pPr>
        <w:spacing w:after="9" w:line="249" w:lineRule="auto"/>
        <w:ind w:left="166"/>
        <w:jc w:val="center"/>
      </w:pPr>
      <w:r>
        <w:rPr>
          <w:b/>
        </w:rPr>
        <w:t xml:space="preserve">) </w:t>
      </w:r>
    </w:p>
    <w:p w14:paraId="236A08F6" w14:textId="77777777" w:rsidR="00D44E0F" w:rsidRDefault="00D44E0F" w:rsidP="00D44E0F">
      <w:pPr>
        <w:tabs>
          <w:tab w:val="center" w:pos="4739"/>
          <w:tab w:val="center" w:pos="6451"/>
        </w:tabs>
        <w:ind w:left="-15" w:firstLine="0"/>
      </w:pPr>
      <w:r>
        <w:t xml:space="preserve">Promoting Innovation and Competition in the </w:t>
      </w:r>
      <w:r>
        <w:tab/>
      </w:r>
      <w:r>
        <w:rPr>
          <w:b/>
        </w:rPr>
        <w:t xml:space="preserve">) </w:t>
      </w:r>
      <w:r>
        <w:rPr>
          <w:b/>
        </w:rPr>
        <w:tab/>
      </w:r>
      <w:r>
        <w:t xml:space="preserve">MB Docket No. 14-261 </w:t>
      </w:r>
    </w:p>
    <w:p w14:paraId="35E690E5" w14:textId="77777777" w:rsidR="00D44E0F" w:rsidRDefault="00D44E0F" w:rsidP="00D44E0F">
      <w:pPr>
        <w:tabs>
          <w:tab w:val="center" w:pos="4739"/>
        </w:tabs>
        <w:ind w:left="-15" w:firstLine="0"/>
      </w:pPr>
      <w:r>
        <w:t xml:space="preserve">Provision of Multichannel Video </w:t>
      </w:r>
      <w:r>
        <w:tab/>
      </w:r>
      <w:r>
        <w:rPr>
          <w:b/>
        </w:rPr>
        <w:t xml:space="preserve">) </w:t>
      </w:r>
    </w:p>
    <w:p w14:paraId="69517EA0" w14:textId="77777777" w:rsidR="00D44E0F" w:rsidRDefault="00D44E0F" w:rsidP="00D44E0F">
      <w:pPr>
        <w:tabs>
          <w:tab w:val="center" w:pos="4739"/>
        </w:tabs>
        <w:spacing w:after="1097"/>
        <w:ind w:left="-15" w:firstLine="0"/>
        <w:rPr>
          <w:b/>
        </w:rPr>
      </w:pPr>
      <w:r>
        <w:t xml:space="preserve">Programming Distribution Services </w:t>
      </w:r>
      <w:r>
        <w:tab/>
      </w:r>
      <w:r>
        <w:rPr>
          <w:b/>
        </w:rPr>
        <w:t xml:space="preserve">) </w:t>
      </w:r>
    </w:p>
    <w:p w14:paraId="7673AD5E" w14:textId="77777777" w:rsidR="00D44E0F" w:rsidRDefault="00D44E0F" w:rsidP="00D44E0F">
      <w:pPr>
        <w:pStyle w:val="Heading1"/>
        <w:numPr>
          <w:ilvl w:val="0"/>
          <w:numId w:val="0"/>
        </w:numPr>
        <w:ind w:left="-5"/>
        <w:jc w:val="center"/>
      </w:pPr>
      <w:r>
        <w:t>REPLY COMMENTS OF THE</w:t>
      </w:r>
    </w:p>
    <w:p w14:paraId="4ECEE8E8" w14:textId="77777777" w:rsidR="00D44E0F" w:rsidRDefault="00D44E0F" w:rsidP="00D44E0F">
      <w:pPr>
        <w:pStyle w:val="Heading1"/>
        <w:numPr>
          <w:ilvl w:val="0"/>
          <w:numId w:val="0"/>
        </w:numPr>
        <w:ind w:left="-5"/>
        <w:jc w:val="center"/>
      </w:pPr>
      <w:r>
        <w:t>NORTHWEST SUBURBS CABLE COMMUNICATIONS COMMISSION</w:t>
      </w:r>
    </w:p>
    <w:p w14:paraId="72C9EC90" w14:textId="77777777" w:rsidR="00D44E0F" w:rsidRDefault="00D44E0F" w:rsidP="00D44E0F">
      <w:pPr>
        <w:jc w:val="center"/>
        <w:rPr>
          <w:b/>
        </w:rPr>
      </w:pPr>
      <w:r>
        <w:rPr>
          <w:b/>
        </w:rPr>
        <w:t xml:space="preserve">&amp; </w:t>
      </w:r>
    </w:p>
    <w:p w14:paraId="478539D0" w14:textId="07973E8F" w:rsidR="00D44E0F" w:rsidRPr="0033592F" w:rsidRDefault="00D44E0F" w:rsidP="00D44E0F">
      <w:pPr>
        <w:jc w:val="center"/>
        <w:rPr>
          <w:b/>
        </w:rPr>
      </w:pPr>
      <w:r>
        <w:rPr>
          <w:b/>
        </w:rPr>
        <w:t>THE NORTHWEST SUBURBS COMMUNITY TELEVISION</w:t>
      </w:r>
    </w:p>
    <w:p w14:paraId="381F7DDF" w14:textId="77777777" w:rsidR="00D44E0F" w:rsidRDefault="00D44E0F" w:rsidP="00FA0579">
      <w:pPr>
        <w:pStyle w:val="Heading1"/>
        <w:numPr>
          <w:ilvl w:val="0"/>
          <w:numId w:val="0"/>
        </w:numPr>
        <w:ind w:left="-5"/>
      </w:pPr>
    </w:p>
    <w:p w14:paraId="2B2CB366" w14:textId="77777777" w:rsidR="00D44E0F" w:rsidRDefault="00D44E0F" w:rsidP="00FA0579">
      <w:pPr>
        <w:pStyle w:val="Heading1"/>
        <w:numPr>
          <w:ilvl w:val="0"/>
          <w:numId w:val="0"/>
        </w:numPr>
        <w:ind w:left="-5"/>
      </w:pPr>
    </w:p>
    <w:p w14:paraId="14DD2DF9" w14:textId="77777777" w:rsidR="00C01AB0" w:rsidRDefault="00C01AB0" w:rsidP="00283814">
      <w:pPr>
        <w:spacing w:line="480" w:lineRule="auto"/>
        <w:jc w:val="both"/>
      </w:pPr>
    </w:p>
    <w:p w14:paraId="1ED29962" w14:textId="32820496" w:rsidR="00A14AB6" w:rsidRDefault="007975F6" w:rsidP="00283814">
      <w:pPr>
        <w:spacing w:line="480" w:lineRule="auto"/>
        <w:jc w:val="both"/>
      </w:pPr>
      <w:r>
        <w:t>The</w:t>
      </w:r>
      <w:r w:rsidR="00A14AB6">
        <w:t xml:space="preserve"> Northwest Suburbs Cable Communications Commission (“NWSCCC”) </w:t>
      </w:r>
      <w:r w:rsidR="0033592F">
        <w:t xml:space="preserve">and the </w:t>
      </w:r>
      <w:r w:rsidR="0033592F" w:rsidRPr="0033592F">
        <w:t xml:space="preserve">Northwest </w:t>
      </w:r>
      <w:r w:rsidR="00F47A84">
        <w:t>Suburbs Community Television (“NWCT”)</w:t>
      </w:r>
      <w:r w:rsidR="0033592F" w:rsidRPr="0033592F">
        <w:t>, a Minnesota non</w:t>
      </w:r>
      <w:r w:rsidR="0033592F" w:rsidRPr="0033592F">
        <w:noBreakHyphen/>
        <w:t xml:space="preserve">profit corporation </w:t>
      </w:r>
      <w:r>
        <w:t xml:space="preserve">submits these reply comments in response to the Commission’s request for comments </w:t>
      </w:r>
      <w:r w:rsidR="00D44E0F">
        <w:t xml:space="preserve">in the above captioned proceeding </w:t>
      </w:r>
      <w:r>
        <w:t>on how to interpret the term “Multi</w:t>
      </w:r>
      <w:r w:rsidR="006F0D6C">
        <w:t>channel</w:t>
      </w:r>
      <w:r>
        <w:t xml:space="preserve"> Video Programming Distributor” (“MVPDs”</w:t>
      </w:r>
      <w:r w:rsidR="00552AF0">
        <w:t>).</w:t>
      </w:r>
      <w:r w:rsidR="00552AF0">
        <w:rPr>
          <w:rStyle w:val="FootnoteReference"/>
        </w:rPr>
        <w:footnoteReference w:id="1"/>
      </w:r>
    </w:p>
    <w:p w14:paraId="1052FC47" w14:textId="77777777" w:rsidR="00C453D3" w:rsidRDefault="00C453D3" w:rsidP="00283814">
      <w:pPr>
        <w:spacing w:line="480" w:lineRule="auto"/>
        <w:jc w:val="both"/>
      </w:pPr>
    </w:p>
    <w:p w14:paraId="5AA4E1B2" w14:textId="0968753B" w:rsidR="00FA79FB" w:rsidRPr="00860EDF" w:rsidRDefault="00C453D3" w:rsidP="004C4469">
      <w:pPr>
        <w:pStyle w:val="ListParagraph"/>
        <w:numPr>
          <w:ilvl w:val="0"/>
          <w:numId w:val="3"/>
        </w:numPr>
        <w:spacing w:line="480" w:lineRule="auto"/>
        <w:ind w:left="720"/>
        <w:jc w:val="both"/>
        <w:rPr>
          <w:szCs w:val="24"/>
        </w:rPr>
      </w:pPr>
      <w:r w:rsidRPr="00860EDF">
        <w:rPr>
          <w:b/>
        </w:rPr>
        <w:t>INTRODUCTION AND SUMMARY</w:t>
      </w:r>
      <w:r w:rsidR="00C01AB0">
        <w:t xml:space="preserve"> </w:t>
      </w:r>
      <w:r w:rsidR="00C01AB0" w:rsidRPr="00860EDF">
        <w:rPr>
          <w:b/>
          <w:spacing w:val="-3"/>
          <w:szCs w:val="24"/>
        </w:rPr>
        <w:fldChar w:fldCharType="begin"/>
      </w:r>
      <w:r w:rsidR="00C01AB0" w:rsidRPr="00860EDF">
        <w:rPr>
          <w:szCs w:val="24"/>
        </w:rPr>
        <w:instrText>tc "</w:instrText>
      </w:r>
      <w:bookmarkStart w:id="1" w:name="_Toc414871132"/>
      <w:r w:rsidR="00C01AB0" w:rsidRPr="00860EDF">
        <w:rPr>
          <w:spacing w:val="-3"/>
          <w:szCs w:val="24"/>
        </w:rPr>
        <w:instrText>Introduction and Summary</w:instrText>
      </w:r>
      <w:bookmarkEnd w:id="1"/>
      <w:r w:rsidR="00C01AB0" w:rsidRPr="00860EDF">
        <w:rPr>
          <w:szCs w:val="24"/>
        </w:rPr>
        <w:instrText>" \f C \l 1</w:instrText>
      </w:r>
      <w:r w:rsidR="00C01AB0" w:rsidRPr="00860EDF">
        <w:rPr>
          <w:b/>
          <w:spacing w:val="-3"/>
          <w:szCs w:val="24"/>
        </w:rPr>
        <w:fldChar w:fldCharType="end"/>
      </w:r>
    </w:p>
    <w:p w14:paraId="02734275" w14:textId="77777777" w:rsidR="000A6216" w:rsidRPr="000A6216" w:rsidRDefault="000A6216" w:rsidP="00283814">
      <w:pPr>
        <w:spacing w:line="480" w:lineRule="auto"/>
        <w:jc w:val="both"/>
        <w:rPr>
          <w:b/>
        </w:rPr>
      </w:pPr>
    </w:p>
    <w:p w14:paraId="1AC93F59" w14:textId="025354D6" w:rsidR="00E32067" w:rsidRDefault="00C453D3" w:rsidP="00283814">
      <w:pPr>
        <w:spacing w:line="480" w:lineRule="auto"/>
        <w:ind w:firstLine="710"/>
        <w:jc w:val="both"/>
      </w:pPr>
      <w:r>
        <w:t xml:space="preserve">NWSCCC, </w:t>
      </w:r>
      <w:r w:rsidR="0033592F">
        <w:t xml:space="preserve">is </w:t>
      </w:r>
      <w:r>
        <w:t xml:space="preserve">a joint powers entity </w:t>
      </w:r>
      <w:r w:rsidR="00E92284">
        <w:t xml:space="preserve">created in the State of Minnesota </w:t>
      </w:r>
      <w:r w:rsidR="00B36A50">
        <w:t xml:space="preserve">more than </w:t>
      </w:r>
      <w:r w:rsidR="00A57F44">
        <w:t>3</w:t>
      </w:r>
      <w:r w:rsidR="00B36A50">
        <w:t>0 years ago</w:t>
      </w:r>
      <w:r w:rsidR="00D44E0F">
        <w:t>,</w:t>
      </w:r>
      <w:r w:rsidR="00B36A50">
        <w:t xml:space="preserve"> </w:t>
      </w:r>
      <w:r w:rsidR="00E92284">
        <w:t xml:space="preserve"> comprised of its original nine cities</w:t>
      </w:r>
      <w:r w:rsidR="006F0D6C">
        <w:t>,</w:t>
      </w:r>
      <w:r w:rsidR="00E92284">
        <w:t xml:space="preserve"> </w:t>
      </w:r>
      <w:r>
        <w:t xml:space="preserve">Brooklyn Center, Brooklyn Park, Crystal, Golden </w:t>
      </w:r>
      <w:r>
        <w:lastRenderedPageBreak/>
        <w:t xml:space="preserve">Valley, Maple Grove, New Hope, Osseo, Plymouth, and </w:t>
      </w:r>
      <w:proofErr w:type="spellStart"/>
      <w:r>
        <w:t>Robbinsdale</w:t>
      </w:r>
      <w:proofErr w:type="spellEnd"/>
      <w:r w:rsidR="006F0D6C">
        <w:t xml:space="preserve"> (the “Member Cities”)</w:t>
      </w:r>
      <w:r w:rsidR="00470F12">
        <w:t xml:space="preserve">. </w:t>
      </w:r>
      <w:r w:rsidR="00E32067">
        <w:t xml:space="preserve">The NWSCCC was formed to serve as the </w:t>
      </w:r>
      <w:r w:rsidR="006F0D6C">
        <w:t xml:space="preserve">cable television </w:t>
      </w:r>
      <w:r w:rsidR="00E32067">
        <w:t>franchising authority, under authority of Minnesota law,</w:t>
      </w:r>
      <w:r w:rsidR="00A57F44" w:rsidRPr="00A57F44">
        <w:rPr>
          <w:rStyle w:val="FootnoteReference"/>
        </w:rPr>
        <w:t xml:space="preserve"> </w:t>
      </w:r>
      <w:r w:rsidR="00A57F44">
        <w:rPr>
          <w:rStyle w:val="FootnoteReference"/>
        </w:rPr>
        <w:footnoteReference w:id="2"/>
      </w:r>
      <w:r w:rsidR="00E32067">
        <w:t xml:space="preserve"> on behalf of </w:t>
      </w:r>
      <w:r w:rsidR="00833979">
        <w:t xml:space="preserve">the </w:t>
      </w:r>
      <w:r w:rsidR="00E32067">
        <w:t xml:space="preserve">nine cities, </w:t>
      </w:r>
      <w:r w:rsidR="00833979">
        <w:t xml:space="preserve">which are </w:t>
      </w:r>
      <w:r w:rsidR="00E32067">
        <w:t>located in the north</w:t>
      </w:r>
      <w:r w:rsidR="00833979">
        <w:t>we</w:t>
      </w:r>
      <w:r w:rsidR="00847F19">
        <w:t>st side of Minneapolis and having</w:t>
      </w:r>
      <w:r w:rsidR="00E32067">
        <w:t xml:space="preserve"> a combined total population of approximately </w:t>
      </w:r>
      <w:r w:rsidR="00126C30">
        <w:t>320,000</w:t>
      </w:r>
      <w:r w:rsidR="00E32067">
        <w:t xml:space="preserve"> residents. The area served by NWSCCC also includes </w:t>
      </w:r>
      <w:r w:rsidR="00126C30">
        <w:t>six</w:t>
      </w:r>
      <w:r w:rsidR="00E32067">
        <w:t xml:space="preserve"> school districts. Although </w:t>
      </w:r>
      <w:proofErr w:type="spellStart"/>
      <w:r w:rsidR="00E32067">
        <w:t>CenturyLink</w:t>
      </w:r>
      <w:proofErr w:type="spellEnd"/>
      <w:r w:rsidR="000B1E77">
        <w:t>, Inc.</w:t>
      </w:r>
      <w:r w:rsidR="00E32067">
        <w:t xml:space="preserve"> has recently expressed an interest in providing cable services to the residents of the Member Cities</w:t>
      </w:r>
      <w:r w:rsidR="000A6216">
        <w:t>,</w:t>
      </w:r>
      <w:r w:rsidR="00793BE0">
        <w:t xml:space="preserve"> Comcast</w:t>
      </w:r>
      <w:r w:rsidR="000B1E77">
        <w:t>, Inc.</w:t>
      </w:r>
      <w:r w:rsidR="00793BE0">
        <w:t xml:space="preserve"> is </w:t>
      </w:r>
      <w:r w:rsidR="000A6216">
        <w:t xml:space="preserve">currently </w:t>
      </w:r>
      <w:r w:rsidR="00793BE0">
        <w:t>the only cable provider for the NWSCCC.</w:t>
      </w:r>
      <w:r w:rsidR="00796BF8">
        <w:t xml:space="preserve"> </w:t>
      </w:r>
    </w:p>
    <w:p w14:paraId="358FFFB1" w14:textId="08FD71D7" w:rsidR="00B17101" w:rsidRDefault="00E92284" w:rsidP="00283814">
      <w:pPr>
        <w:spacing w:line="480" w:lineRule="auto"/>
        <w:ind w:firstLine="710"/>
        <w:jc w:val="both"/>
      </w:pPr>
      <w:r>
        <w:t xml:space="preserve"> </w:t>
      </w:r>
      <w:r w:rsidR="00F47A84">
        <w:t xml:space="preserve">NWCT </w:t>
      </w:r>
      <w:r>
        <w:t>w</w:t>
      </w:r>
      <w:r w:rsidR="00E119E2">
        <w:t>as created by NWSCCC in the early</w:t>
      </w:r>
      <w:r>
        <w:t xml:space="preserve"> 1980s to serve as the body responsible for oversight of public, educational, and governmental access programming </w:t>
      </w:r>
      <w:r w:rsidR="006F0D6C">
        <w:t xml:space="preserve">(PEG) </w:t>
      </w:r>
      <w:r>
        <w:t>and to develop local programming.</w:t>
      </w:r>
      <w:r w:rsidR="00E32067">
        <w:t xml:space="preserve"> </w:t>
      </w:r>
      <w:r w:rsidR="0086161C">
        <w:t>In its</w:t>
      </w:r>
      <w:r w:rsidR="00BC604F">
        <w:t xml:space="preserve"> creation of the NWCT</w:t>
      </w:r>
      <w:r w:rsidR="00FD6205">
        <w:t xml:space="preserve">, </w:t>
      </w:r>
      <w:r w:rsidR="00AB0157">
        <w:t>and in</w:t>
      </w:r>
      <w:r w:rsidR="00BC604F">
        <w:t xml:space="preserve"> its</w:t>
      </w:r>
      <w:r w:rsidR="00BC604F" w:rsidRPr="00BC604F">
        <w:t xml:space="preserve"> </w:t>
      </w:r>
      <w:r w:rsidR="00BC604F">
        <w:t xml:space="preserve">continuation, </w:t>
      </w:r>
      <w:r w:rsidR="0086161C">
        <w:t xml:space="preserve">NWSCCC has worked </w:t>
      </w:r>
      <w:r w:rsidR="00FD6205">
        <w:t xml:space="preserve">to </w:t>
      </w:r>
      <w:r w:rsidR="004C4469">
        <w:t>advance federal</w:t>
      </w:r>
      <w:r w:rsidR="0086161C">
        <w:t xml:space="preserve"> </w:t>
      </w:r>
      <w:r w:rsidR="00FD6205">
        <w:t xml:space="preserve">and State </w:t>
      </w:r>
      <w:r w:rsidR="0086161C">
        <w:t xml:space="preserve">policy to encourage </w:t>
      </w:r>
      <w:r w:rsidR="00FD6205">
        <w:t xml:space="preserve">the widespread </w:t>
      </w:r>
      <w:r w:rsidR="0086161C">
        <w:t xml:space="preserve">deployment </w:t>
      </w:r>
      <w:r w:rsidR="00FD6205">
        <w:t xml:space="preserve">and availability </w:t>
      </w:r>
      <w:r w:rsidR="0086161C">
        <w:t xml:space="preserve">of cable television services. </w:t>
      </w:r>
    </w:p>
    <w:p w14:paraId="70510948" w14:textId="663FADAA" w:rsidR="0086161C" w:rsidRDefault="00F47A84" w:rsidP="00283814">
      <w:pPr>
        <w:spacing w:line="480" w:lineRule="auto"/>
        <w:ind w:firstLine="710"/>
        <w:jc w:val="both"/>
      </w:pPr>
      <w:r>
        <w:t>NWCT’s</w:t>
      </w:r>
      <w:r w:rsidR="00B45B88">
        <w:t xml:space="preserve"> existence depends upon the funds provided under the </w:t>
      </w:r>
      <w:r w:rsidR="006F0D6C">
        <w:t xml:space="preserve">cable </w:t>
      </w:r>
      <w:r w:rsidR="00B45B88">
        <w:t>franchise agreement with Comcast</w:t>
      </w:r>
      <w:r w:rsidR="00FD6205">
        <w:t>,</w:t>
      </w:r>
      <w:r w:rsidR="002931C2">
        <w:t xml:space="preserve"> as well </w:t>
      </w:r>
      <w:r w:rsidR="00602FAE">
        <w:t>the efforts of</w:t>
      </w:r>
      <w:r w:rsidR="002931C2">
        <w:t xml:space="preserve"> a staff o</w:t>
      </w:r>
      <w:r w:rsidR="00602FAE">
        <w:t>f more than</w:t>
      </w:r>
      <w:r w:rsidR="000B1E77">
        <w:t xml:space="preserve"> 80 individuals and</w:t>
      </w:r>
      <w:r w:rsidR="00833979">
        <w:t xml:space="preserve"> a</w:t>
      </w:r>
      <w:r w:rsidR="002931C2">
        <w:t xml:space="preserve"> volunteer base of 605 local residents</w:t>
      </w:r>
      <w:r w:rsidR="00B45B88">
        <w:t>. In its annual</w:t>
      </w:r>
      <w:r>
        <w:t xml:space="preserve"> report, NWCT</w:t>
      </w:r>
      <w:r w:rsidR="00B45B88">
        <w:t xml:space="preserve"> noted, “[o]</w:t>
      </w:r>
      <w:proofErr w:type="spellStart"/>
      <w:r w:rsidR="00B45B88" w:rsidRPr="00B45B88">
        <w:t>ne</w:t>
      </w:r>
      <w:proofErr w:type="spellEnd"/>
      <w:r w:rsidR="00B45B88" w:rsidRPr="00B45B88">
        <w:t xml:space="preserve"> of the most important aspects of the franchise agreement between NWSCCC and the incumbent broadband </w:t>
      </w:r>
      <w:r w:rsidR="004337D1">
        <w:t xml:space="preserve">(cable) </w:t>
      </w:r>
      <w:r w:rsidR="00B45B88" w:rsidRPr="00B45B88">
        <w:t>service provider is the overall support provisions for community programming. Without these provisions, there would be no community programming.</w:t>
      </w:r>
      <w:r w:rsidR="00B45B88">
        <w:t>”</w:t>
      </w:r>
      <w:r w:rsidR="00B45B88" w:rsidRPr="00B45B88">
        <w:rPr>
          <w:rStyle w:val="FootnoteReference"/>
        </w:rPr>
        <w:t xml:space="preserve"> </w:t>
      </w:r>
      <w:r w:rsidR="00B45B88">
        <w:rPr>
          <w:rStyle w:val="FootnoteReference"/>
        </w:rPr>
        <w:footnoteReference w:id="3"/>
      </w:r>
      <w:r w:rsidR="0086161C">
        <w:t xml:space="preserve"> </w:t>
      </w:r>
    </w:p>
    <w:p w14:paraId="2FF29177" w14:textId="71B41AEF" w:rsidR="00865AE8" w:rsidRDefault="000B1E77" w:rsidP="00283814">
      <w:pPr>
        <w:spacing w:line="480" w:lineRule="auto"/>
        <w:ind w:left="0" w:firstLine="720"/>
        <w:jc w:val="both"/>
      </w:pPr>
      <w:r>
        <w:t>With the support of Comcast’s</w:t>
      </w:r>
      <w:r w:rsidR="00602FAE">
        <w:t xml:space="preserve"> f</w:t>
      </w:r>
      <w:r w:rsidR="00FD6205">
        <w:t>ranchise fees</w:t>
      </w:r>
      <w:r w:rsidR="009608F4">
        <w:t xml:space="preserve">, </w:t>
      </w:r>
      <w:r w:rsidR="00F47A84">
        <w:t>NWCT staff and</w:t>
      </w:r>
      <w:r w:rsidR="00421D35">
        <w:t xml:space="preserve"> volunteers </w:t>
      </w:r>
      <w:r w:rsidR="003E6C48">
        <w:t>create about</w:t>
      </w:r>
      <w:r w:rsidR="00745265">
        <w:t xml:space="preserve"> 5824</w:t>
      </w:r>
      <w:r w:rsidR="00421D35">
        <w:t xml:space="preserve"> hours of programming</w:t>
      </w:r>
      <w:r w:rsidR="00602FAE">
        <w:t xml:space="preserve"> </w:t>
      </w:r>
      <w:r w:rsidR="009608F4">
        <w:t xml:space="preserve">each year </w:t>
      </w:r>
      <w:r w:rsidR="00602FAE">
        <w:t xml:space="preserve">that is viewed on traditional television and other devices </w:t>
      </w:r>
      <w:r w:rsidR="00602FAE">
        <w:lastRenderedPageBreak/>
        <w:t>(v</w:t>
      </w:r>
      <w:r w:rsidR="00A17027">
        <w:t>olunteer</w:t>
      </w:r>
      <w:r w:rsidR="009B3279">
        <w:t xml:space="preserve">s </w:t>
      </w:r>
      <w:r w:rsidR="00A17027">
        <w:t xml:space="preserve">alone created </w:t>
      </w:r>
      <w:r w:rsidR="00421D35">
        <w:t xml:space="preserve">1332 </w:t>
      </w:r>
      <w:r w:rsidR="003E6C48">
        <w:t>new programs (1057 new hours) in 2014</w:t>
      </w:r>
      <w:r w:rsidR="00602FAE">
        <w:t>)</w:t>
      </w:r>
      <w:r w:rsidR="00421D35">
        <w:t>.</w:t>
      </w:r>
      <w:r w:rsidR="002931C2">
        <w:rPr>
          <w:rStyle w:val="FootnoteReference"/>
        </w:rPr>
        <w:footnoteReference w:id="4"/>
      </w:r>
      <w:r w:rsidR="00421D35">
        <w:t xml:space="preserve"> </w:t>
      </w:r>
      <w:r w:rsidR="00760F37" w:rsidRPr="00E600D4">
        <w:t xml:space="preserve">Programming provided by NWCT </w:t>
      </w:r>
      <w:r w:rsidR="00E600D4">
        <w:t xml:space="preserve">also </w:t>
      </w:r>
      <w:r w:rsidR="00760F37" w:rsidRPr="00E600D4">
        <w:t>include</w:t>
      </w:r>
      <w:r w:rsidR="00D936EF" w:rsidRPr="00E600D4">
        <w:t>s the broadcast</w:t>
      </w:r>
      <w:r w:rsidR="00E600D4" w:rsidRPr="00E600D4">
        <w:t>ing of more than</w:t>
      </w:r>
      <w:r w:rsidR="00D936EF" w:rsidRPr="00E600D4">
        <w:t xml:space="preserve"> 10,</w:t>
      </w:r>
      <w:r w:rsidR="00760F37" w:rsidRPr="00E600D4">
        <w:t xml:space="preserve">000 </w:t>
      </w:r>
      <w:r w:rsidR="00E600D4">
        <w:t xml:space="preserve">public meetings to </w:t>
      </w:r>
      <w:r w:rsidR="00760F37" w:rsidRPr="00E600D4">
        <w:t>ensure transparency and the opportunity for the residents of the Member Cities to engage</w:t>
      </w:r>
      <w:r w:rsidR="00E600D4">
        <w:t xml:space="preserve"> in their local governments. </w:t>
      </w:r>
      <w:r w:rsidR="00760F37">
        <w:t xml:space="preserve"> </w:t>
      </w:r>
    </w:p>
    <w:p w14:paraId="6FDE0325" w14:textId="07C35854" w:rsidR="00B36A50" w:rsidRDefault="00E600D4" w:rsidP="00283814">
      <w:pPr>
        <w:spacing w:line="480" w:lineRule="auto"/>
        <w:ind w:left="0" w:firstLine="720"/>
        <w:jc w:val="both"/>
      </w:pPr>
      <w:r>
        <w:t xml:space="preserve">Not only is programming broadcast, it is </w:t>
      </w:r>
      <w:r w:rsidR="00865AE8">
        <w:t xml:space="preserve">seen </w:t>
      </w:r>
      <w:r>
        <w:t xml:space="preserve">by a substantial portion of the population. </w:t>
      </w:r>
      <w:r w:rsidR="00E34BAD">
        <w:t>A</w:t>
      </w:r>
      <w:r w:rsidR="00865AE8">
        <w:t>s a</w:t>
      </w:r>
      <w:r w:rsidR="00E34BAD">
        <w:t xml:space="preserve"> recent survey of cable service subscribers in the Member Cities found that 55 percent of the subscribers tune into NWCT on a </w:t>
      </w:r>
      <w:r w:rsidR="00BF324D">
        <w:t xml:space="preserve">recurrent </w:t>
      </w:r>
      <w:r w:rsidR="00E34BAD">
        <w:t>basis.</w:t>
      </w:r>
      <w:r w:rsidR="00BF324D">
        <w:rPr>
          <w:rStyle w:val="FootnoteReference"/>
        </w:rPr>
        <w:footnoteReference w:id="5"/>
      </w:r>
      <w:r w:rsidR="00E34BAD">
        <w:t xml:space="preserve"> </w:t>
      </w:r>
    </w:p>
    <w:p w14:paraId="332B832D" w14:textId="6C2036AD" w:rsidR="0086161C" w:rsidRDefault="003E6C48" w:rsidP="00283814">
      <w:pPr>
        <w:spacing w:line="480" w:lineRule="auto"/>
        <w:ind w:left="0" w:firstLine="720"/>
        <w:jc w:val="both"/>
      </w:pPr>
      <w:r>
        <w:t>The opportunity to produce programm</w:t>
      </w:r>
      <w:r w:rsidR="00B678DE">
        <w:t>ing has sparked interest</w:t>
      </w:r>
      <w:r w:rsidR="00B45B88">
        <w:t xml:space="preserve"> and launched career opportunities</w:t>
      </w:r>
      <w:r w:rsidR="00B678DE">
        <w:t xml:space="preserve"> for</w:t>
      </w:r>
      <w:r>
        <w:t xml:space="preserve"> numer</w:t>
      </w:r>
      <w:r w:rsidR="00B678DE">
        <w:t xml:space="preserve">ous </w:t>
      </w:r>
      <w:r w:rsidR="00452028">
        <w:t xml:space="preserve">volunteers from </w:t>
      </w:r>
      <w:r w:rsidR="009608F4">
        <w:t>the nine communit</w:t>
      </w:r>
      <w:r w:rsidR="00F47A84">
        <w:t>ies served by the NWCT</w:t>
      </w:r>
      <w:r w:rsidR="00B678DE">
        <w:t xml:space="preserve"> </w:t>
      </w:r>
      <w:r w:rsidR="009608F4">
        <w:t>throughout</w:t>
      </w:r>
      <w:r w:rsidR="00F47A84">
        <w:t xml:space="preserve"> the 30 years of its</w:t>
      </w:r>
      <w:r w:rsidR="00B678DE">
        <w:t xml:space="preserve"> existence.</w:t>
      </w:r>
      <w:r w:rsidR="00B678DE">
        <w:rPr>
          <w:rStyle w:val="FootnoteReference"/>
        </w:rPr>
        <w:footnoteReference w:id="6"/>
      </w:r>
      <w:r w:rsidR="00B45B88">
        <w:t xml:space="preserve"> </w:t>
      </w:r>
      <w:r w:rsidR="00AB0157">
        <w:t xml:space="preserve"> In addition to opportunities discovered, the efforts of those dedicated to NWCT has been consistently recognized. </w:t>
      </w:r>
      <w:r w:rsidR="00F47A84">
        <w:t>NWCT</w:t>
      </w:r>
      <w:r w:rsidR="00602FAE">
        <w:t xml:space="preserve"> staff and volunteers have received </w:t>
      </w:r>
      <w:r w:rsidR="00452028">
        <w:t xml:space="preserve">many </w:t>
      </w:r>
      <w:r w:rsidR="00602FAE">
        <w:t>awards</w:t>
      </w:r>
      <w:r w:rsidR="009608F4">
        <w:t xml:space="preserve"> (including Regional Emmy Awards) </w:t>
      </w:r>
      <w:r w:rsidR="00AB0157">
        <w:t>for</w:t>
      </w:r>
      <w:r w:rsidR="00452028">
        <w:t xml:space="preserve"> programming.</w:t>
      </w:r>
      <w:r w:rsidR="00602FAE">
        <w:t xml:space="preserve"> </w:t>
      </w:r>
      <w:r w:rsidR="00452028">
        <w:t>A</w:t>
      </w:r>
      <w:r w:rsidR="00602FAE">
        <w:t xml:space="preserve">wards </w:t>
      </w:r>
      <w:r w:rsidR="00452028">
        <w:t>include recognition for</w:t>
      </w:r>
      <w:r w:rsidR="00602FAE">
        <w:t xml:space="preserve"> local origination programming of current news, services, benefits and sports reporting</w:t>
      </w:r>
      <w:r w:rsidR="00833979">
        <w:t>.</w:t>
      </w:r>
      <w:r w:rsidR="00602FAE">
        <w:t xml:space="preserve"> </w:t>
      </w:r>
      <w:r w:rsidR="00833979">
        <w:t xml:space="preserve"> </w:t>
      </w:r>
    </w:p>
    <w:p w14:paraId="27541C02" w14:textId="257A462D" w:rsidR="00317366" w:rsidRDefault="001515A2" w:rsidP="00283814">
      <w:pPr>
        <w:spacing w:line="480" w:lineRule="auto"/>
        <w:ind w:firstLine="710"/>
        <w:jc w:val="both"/>
      </w:pPr>
      <w:r>
        <w:t>Undoubtedly</w:t>
      </w:r>
      <w:r w:rsidR="00B17101">
        <w:t xml:space="preserve">, the NWSCCC cable franchising, which spans over a period of three decades, has </w:t>
      </w:r>
      <w:r w:rsidR="000A261F">
        <w:t>been a tremendous benefit to the Member Comm</w:t>
      </w:r>
      <w:r w:rsidR="004337D1">
        <w:t>u</w:t>
      </w:r>
      <w:r w:rsidR="000A261F">
        <w:t>nities</w:t>
      </w:r>
      <w:r w:rsidR="00B17101">
        <w:t xml:space="preserve">.  </w:t>
      </w:r>
      <w:r w:rsidR="00317366">
        <w:t>For this reason we are concerned that a</w:t>
      </w:r>
      <w:r w:rsidR="00B17101">
        <w:t xml:space="preserve"> proposal by the Commission that may have the effect of dismantling cable television franchising would be devastating</w:t>
      </w:r>
      <w:r w:rsidR="00317366">
        <w:t xml:space="preserve">. </w:t>
      </w:r>
      <w:r w:rsidR="001D53DC">
        <w:t>As mentioned above, without the support that the cable oper</w:t>
      </w:r>
      <w:r w:rsidR="00847F19">
        <w:t>ator has agreed to provide—</w:t>
      </w:r>
      <w:r w:rsidR="00EB1619">
        <w:t xml:space="preserve">and </w:t>
      </w:r>
      <w:r w:rsidR="00847F19">
        <w:t>ha</w:t>
      </w:r>
      <w:r w:rsidR="00EB1619">
        <w:t xml:space="preserve">s </w:t>
      </w:r>
      <w:r w:rsidR="001D53DC">
        <w:t>consistently provided--there would be no community programming.</w:t>
      </w:r>
    </w:p>
    <w:p w14:paraId="60C33737" w14:textId="6095EF69" w:rsidR="00B17101" w:rsidRDefault="00FD6205" w:rsidP="00283814">
      <w:pPr>
        <w:spacing w:line="480" w:lineRule="auto"/>
        <w:ind w:firstLine="710"/>
        <w:jc w:val="both"/>
      </w:pPr>
      <w:r>
        <w:lastRenderedPageBreak/>
        <w:t xml:space="preserve">Moreover, </w:t>
      </w:r>
      <w:r w:rsidR="00317366">
        <w:t xml:space="preserve">the harmful effect </w:t>
      </w:r>
      <w:r>
        <w:t xml:space="preserve">of this proposal </w:t>
      </w:r>
      <w:r w:rsidR="00317366">
        <w:t>would not be exclusive to</w:t>
      </w:r>
      <w:r w:rsidR="000D0A29">
        <w:t xml:space="preserve"> </w:t>
      </w:r>
      <w:r w:rsidR="000D0A29" w:rsidRPr="00317366">
        <w:t xml:space="preserve">NWCT, but </w:t>
      </w:r>
      <w:r w:rsidR="00317366">
        <w:t xml:space="preserve">would </w:t>
      </w:r>
      <w:r w:rsidR="00847F19">
        <w:t xml:space="preserve">also </w:t>
      </w:r>
      <w:r w:rsidR="00317366">
        <w:t>reach a national level</w:t>
      </w:r>
      <w:r w:rsidR="00B17101" w:rsidRPr="00317366">
        <w:t>.</w:t>
      </w:r>
      <w:r w:rsidR="00B17101">
        <w:t xml:space="preserve"> </w:t>
      </w:r>
      <w:r w:rsidR="00847F19">
        <w:t xml:space="preserve">As </w:t>
      </w:r>
      <w:r w:rsidR="001515A2">
        <w:t>the</w:t>
      </w:r>
      <w:r w:rsidR="00670395">
        <w:t xml:space="preserve"> Coalition of Cities For Utility Is</w:t>
      </w:r>
      <w:r w:rsidR="001515A2">
        <w:t>sues pointed out</w:t>
      </w:r>
      <w:r w:rsidR="00847F19">
        <w:t xml:space="preserve"> in its comments</w:t>
      </w:r>
      <w:r w:rsidR="00670395">
        <w:t>, “[</w:t>
      </w:r>
      <w:proofErr w:type="spellStart"/>
      <w:r w:rsidR="00670395">
        <w:t>i</w:t>
      </w:r>
      <w:proofErr w:type="spellEnd"/>
      <w:r w:rsidR="00670395">
        <w:t>]f cable video services can be provided by a franchise holder over-the-top, and this is treated as a ‘non-cable MVPD</w:t>
      </w:r>
      <w:r w:rsidR="00EB1619">
        <w:t>’</w:t>
      </w:r>
      <w:r w:rsidR="00670395">
        <w:t xml:space="preserve"> (Multichannel Video Programming Distribution service), even though these services could not exist but for the cable franchise, then these video programming services would potentially no longer be subject to franchise obligations.”</w:t>
      </w:r>
      <w:r w:rsidR="00670395">
        <w:rPr>
          <w:rStyle w:val="FootnoteReference"/>
        </w:rPr>
        <w:footnoteReference w:id="7"/>
      </w:r>
      <w:r w:rsidR="00AB0157">
        <w:t xml:space="preserve"> </w:t>
      </w:r>
    </w:p>
    <w:p w14:paraId="3C2A258D" w14:textId="77777777" w:rsidR="005B2550" w:rsidRDefault="005B2550" w:rsidP="00283814">
      <w:pPr>
        <w:spacing w:line="480" w:lineRule="auto"/>
        <w:ind w:left="0" w:firstLine="720"/>
        <w:jc w:val="both"/>
      </w:pPr>
      <w:r>
        <w:t xml:space="preserve">NWSCCC and </w:t>
      </w:r>
      <w:r w:rsidR="00F47A84">
        <w:t xml:space="preserve">NWCT reply to comments made by commenters on two issues raised in the </w:t>
      </w:r>
      <w:r w:rsidR="00F47A84" w:rsidRPr="00E85204">
        <w:rPr>
          <w:i/>
        </w:rPr>
        <w:t>NPRM</w:t>
      </w:r>
      <w:r w:rsidR="00F47A84">
        <w:t>.</w:t>
      </w:r>
      <w:r w:rsidR="00BF254F">
        <w:t xml:space="preserve"> We agree with commenters who support the </w:t>
      </w:r>
      <w:r w:rsidR="00BF254F" w:rsidRPr="00E85204">
        <w:rPr>
          <w:i/>
        </w:rPr>
        <w:t>NPRM</w:t>
      </w:r>
      <w:r w:rsidR="00BF254F">
        <w:t>’s conclusion that the provision of IP video over a cable system, within the footprint of that cable system, is a cable service.</w:t>
      </w:r>
      <w:r w:rsidR="00BF254F">
        <w:rPr>
          <w:rStyle w:val="FootnoteReference"/>
        </w:rPr>
        <w:footnoteReference w:id="8"/>
      </w:r>
      <w:r w:rsidR="00833979">
        <w:t xml:space="preserve"> W</w:t>
      </w:r>
      <w:r w:rsidR="005575A2">
        <w:t xml:space="preserve">e </w:t>
      </w:r>
      <w:r w:rsidR="00833979">
        <w:t xml:space="preserve">also agree with the commenters that </w:t>
      </w:r>
      <w:r w:rsidR="005575A2">
        <w:t xml:space="preserve">do not agree with the </w:t>
      </w:r>
      <w:r w:rsidR="005575A2" w:rsidRPr="00E85204">
        <w:rPr>
          <w:i/>
        </w:rPr>
        <w:t>NPRM</w:t>
      </w:r>
      <w:r w:rsidR="005575A2">
        <w:t xml:space="preserve">’s tentative conclusion that a cable operator </w:t>
      </w:r>
      <w:r w:rsidR="00452028">
        <w:t>would be considered to be “a non-cable MVPD…wit</w:t>
      </w:r>
      <w:r w:rsidR="00A57F44">
        <w:t>h respect to its OTT [over-the-t</w:t>
      </w:r>
      <w:r w:rsidR="00452028">
        <w:t>op Internet video] service.”</w:t>
      </w:r>
      <w:r w:rsidR="00452028">
        <w:rPr>
          <w:rStyle w:val="FootnoteReference"/>
        </w:rPr>
        <w:footnoteReference w:id="9"/>
      </w:r>
      <w:r w:rsidR="00452028">
        <w:t xml:space="preserve"> </w:t>
      </w:r>
      <w:r w:rsidR="00F853CD">
        <w:t>We,</w:t>
      </w:r>
      <w:r w:rsidR="00BF254F">
        <w:t xml:space="preserve"> </w:t>
      </w:r>
      <w:r w:rsidR="00F853CD">
        <w:t xml:space="preserve">like numerous other commenters, </w:t>
      </w:r>
      <w:r w:rsidR="00833979">
        <w:t xml:space="preserve">are concerned about </w:t>
      </w:r>
      <w:r w:rsidR="00BF254F">
        <w:t xml:space="preserve">unintended and </w:t>
      </w:r>
      <w:r w:rsidR="00F853CD">
        <w:t xml:space="preserve">potential harmful consequences </w:t>
      </w:r>
      <w:r w:rsidR="00916D67">
        <w:t>if the cable companies’ OTT offerings are</w:t>
      </w:r>
      <w:r w:rsidR="004D1AED">
        <w:t xml:space="preserve"> not treated as cable services when the</w:t>
      </w:r>
      <w:r w:rsidR="00833979">
        <w:t>se</w:t>
      </w:r>
      <w:r w:rsidR="004D1AED">
        <w:t xml:space="preserve"> services are made available over a cable operator’s system, or when they are </w:t>
      </w:r>
      <w:r w:rsidR="004D1AED" w:rsidRPr="00C0186F">
        <w:t>bundled with</w:t>
      </w:r>
      <w:r w:rsidR="004D1AED">
        <w:t xml:space="preserve"> the other cable services and offered exclusively to cable subscribers.</w:t>
      </w:r>
    </w:p>
    <w:p w14:paraId="1887D9C5" w14:textId="77777777" w:rsidR="0049798D" w:rsidRDefault="0049798D" w:rsidP="00283814">
      <w:pPr>
        <w:spacing w:line="480" w:lineRule="auto"/>
        <w:ind w:left="0" w:firstLine="720"/>
        <w:jc w:val="both"/>
      </w:pPr>
    </w:p>
    <w:p w14:paraId="2EBA12C4" w14:textId="15EEF7ED" w:rsidR="0049798D" w:rsidRDefault="00E01A4A" w:rsidP="00E01A4A">
      <w:pPr>
        <w:spacing w:line="240" w:lineRule="auto"/>
        <w:ind w:left="1440" w:hanging="720"/>
        <w:jc w:val="both"/>
      </w:pPr>
      <w:r>
        <w:rPr>
          <w:b/>
        </w:rPr>
        <w:t>A.</w:t>
      </w:r>
      <w:r w:rsidR="004D1AED">
        <w:rPr>
          <w:b/>
        </w:rPr>
        <w:t xml:space="preserve"> </w:t>
      </w:r>
      <w:r w:rsidR="00E85204">
        <w:rPr>
          <w:b/>
        </w:rPr>
        <w:tab/>
      </w:r>
      <w:r>
        <w:rPr>
          <w:b/>
        </w:rPr>
        <w:t xml:space="preserve">NWSCCC And NWCT  Agree With The </w:t>
      </w:r>
      <w:r w:rsidRPr="00E85204">
        <w:rPr>
          <w:b/>
          <w:i/>
        </w:rPr>
        <w:t>N</w:t>
      </w:r>
      <w:r>
        <w:rPr>
          <w:b/>
          <w:i/>
        </w:rPr>
        <w:t>PRM</w:t>
      </w:r>
      <w:r>
        <w:rPr>
          <w:b/>
        </w:rPr>
        <w:t xml:space="preserve"> And Other Commenters Statements That Managed Linear IP Video Service Offered Over A Row-Crossing Landline Network Is A “Cable Service,” And Thus That A Provider Of Such Service Is A “Cable Operator” Under The Cable Act.  </w:t>
      </w:r>
      <w:r>
        <w:t xml:space="preserve"> </w:t>
      </w:r>
    </w:p>
    <w:p w14:paraId="37EF73A1" w14:textId="336EA586" w:rsidR="004D1AED" w:rsidRPr="00C01AB0" w:rsidRDefault="00C01AB0" w:rsidP="00283814">
      <w:pPr>
        <w:spacing w:line="240" w:lineRule="auto"/>
        <w:ind w:left="720" w:hanging="720"/>
        <w:jc w:val="both"/>
      </w:pPr>
      <w:r w:rsidRPr="00C01AB0">
        <w:rPr>
          <w:b/>
          <w:spacing w:val="-3"/>
          <w:szCs w:val="24"/>
        </w:rPr>
        <w:fldChar w:fldCharType="begin"/>
      </w:r>
      <w:r w:rsidRPr="00C01AB0">
        <w:rPr>
          <w:szCs w:val="24"/>
        </w:rPr>
        <w:instrText>tc "</w:instrText>
      </w:r>
      <w:bookmarkStart w:id="2" w:name="_Toc414871133"/>
      <w:r>
        <w:rPr>
          <w:szCs w:val="24"/>
        </w:rPr>
        <w:instrText xml:space="preserve">I.  </w:instrText>
      </w:r>
      <w:r>
        <w:rPr>
          <w:spacing w:val="-3"/>
          <w:szCs w:val="24"/>
        </w:rPr>
        <w:instrText>Managed Linear IP Video is a Cable Service</w:instrText>
      </w:r>
      <w:bookmarkEnd w:id="2"/>
      <w:r w:rsidRPr="00C01AB0">
        <w:rPr>
          <w:szCs w:val="24"/>
        </w:rPr>
        <w:instrText>" \f C \l 1</w:instrText>
      </w:r>
      <w:r w:rsidRPr="00C01AB0">
        <w:rPr>
          <w:b/>
          <w:spacing w:val="-3"/>
          <w:szCs w:val="24"/>
        </w:rPr>
        <w:fldChar w:fldCharType="end"/>
      </w:r>
    </w:p>
    <w:p w14:paraId="5E6FBF17" w14:textId="06F8A9F0" w:rsidR="0049798D" w:rsidRDefault="0049798D" w:rsidP="0049798D">
      <w:pPr>
        <w:spacing w:line="480" w:lineRule="auto"/>
        <w:ind w:left="0" w:firstLine="0"/>
        <w:jc w:val="both"/>
        <w:rPr>
          <w:b/>
        </w:rPr>
      </w:pPr>
    </w:p>
    <w:p w14:paraId="754FFC64" w14:textId="0BAA0D54" w:rsidR="00E85204" w:rsidRPr="0062199F" w:rsidRDefault="00E85204" w:rsidP="0049798D">
      <w:pPr>
        <w:spacing w:line="480" w:lineRule="auto"/>
        <w:ind w:firstLine="710"/>
        <w:jc w:val="both"/>
      </w:pPr>
      <w:r>
        <w:lastRenderedPageBreak/>
        <w:t xml:space="preserve">NWSCCC and NWCT favor the commenters supporting the </w:t>
      </w:r>
      <w:r>
        <w:rPr>
          <w:i/>
        </w:rPr>
        <w:t>NPRM</w:t>
      </w:r>
      <w:r w:rsidRPr="00C0186F">
        <w:t>’s</w:t>
      </w:r>
      <w:r>
        <w:rPr>
          <w:i/>
        </w:rPr>
        <w:t xml:space="preserve"> </w:t>
      </w:r>
      <w:r>
        <w:t xml:space="preserve">conclusions (at </w:t>
      </w:r>
      <w:r w:rsidR="009B39DF">
        <w:t xml:space="preserve">¶¶ 72-77)  </w:t>
      </w:r>
      <w:r>
        <w:t xml:space="preserve">that linear IP video service falls within the Cable Act’s definition of “cable service,” </w:t>
      </w:r>
      <w:r w:rsidR="009B39DF">
        <w:t xml:space="preserve">27 U.S.C. § 522 (6); and therefore any entity that provides such </w:t>
      </w:r>
      <w:r w:rsidR="004C2242">
        <w:t xml:space="preserve">services over landline, </w:t>
      </w:r>
      <w:r w:rsidR="00DE24E1">
        <w:t>right-of-way (</w:t>
      </w:r>
      <w:r w:rsidR="004C2242">
        <w:t>ROW</w:t>
      </w:r>
      <w:r w:rsidR="00DE24E1">
        <w:t>)</w:t>
      </w:r>
      <w:r w:rsidR="004C2242">
        <w:t xml:space="preserve">-crossing facilities that it owns or in which it or its affiliates have a significant interest is a “cable operator,” 47 U.S.C. § 522(5), providing such a “cable service” over a “cable system,” 47 U.S.C. § 522(7). </w:t>
      </w:r>
      <w:r w:rsidR="00C0186F">
        <w:t xml:space="preserve"> We do n</w:t>
      </w:r>
      <w:r w:rsidR="0062199F">
        <w:t xml:space="preserve">ot </w:t>
      </w:r>
      <w:r w:rsidR="00DB38B0">
        <w:t xml:space="preserve">agree </w:t>
      </w:r>
      <w:r w:rsidR="0062199F">
        <w:t xml:space="preserve">with commenters criticizing the </w:t>
      </w:r>
      <w:r w:rsidR="0062199F">
        <w:rPr>
          <w:i/>
        </w:rPr>
        <w:t>NPRM</w:t>
      </w:r>
      <w:r w:rsidR="0062199F">
        <w:t xml:space="preserve">’s conclusions that there is not sufficient </w:t>
      </w:r>
      <w:r w:rsidR="00DB38B0">
        <w:t xml:space="preserve">legal precedent supporting </w:t>
      </w:r>
      <w:r w:rsidR="0062199F">
        <w:t xml:space="preserve">linear IP video service </w:t>
      </w:r>
      <w:r w:rsidR="00DB38B0">
        <w:t>as falling within the Cable Act’s definition of “cable service.”</w:t>
      </w:r>
      <w:r w:rsidR="00DB38B0">
        <w:rPr>
          <w:rStyle w:val="FootnoteReference"/>
        </w:rPr>
        <w:footnoteReference w:id="10"/>
      </w:r>
    </w:p>
    <w:p w14:paraId="18927C8B" w14:textId="15CDF4E8" w:rsidR="0033592F" w:rsidRDefault="004C2242" w:rsidP="00283814">
      <w:pPr>
        <w:spacing w:line="480" w:lineRule="auto"/>
        <w:jc w:val="both"/>
      </w:pPr>
      <w:r>
        <w:tab/>
      </w:r>
      <w:r>
        <w:tab/>
        <w:t xml:space="preserve">The </w:t>
      </w:r>
      <w:r>
        <w:rPr>
          <w:i/>
        </w:rPr>
        <w:t xml:space="preserve">NPRM </w:t>
      </w:r>
      <w:r>
        <w:t>correctly states that these conclusions flow directly from the plain lang</w:t>
      </w:r>
      <w:r w:rsidR="00AE00F7">
        <w:t>uage of Cable Act. In recognizing</w:t>
      </w:r>
      <w:r>
        <w:t xml:space="preserve"> that both “[t</w:t>
      </w:r>
      <w:r w:rsidR="00E01A4A">
        <w:t>]</w:t>
      </w:r>
      <w:r>
        <w:t>he Commission and other authorities have previously concluded that the statute’s definition of ‘cable service’ i</w:t>
      </w:r>
      <w:r w:rsidR="00AE00F7">
        <w:t>ncludes linear IP video service</w:t>
      </w:r>
      <w:r w:rsidR="00DE24E1">
        <w:t>,</w:t>
      </w:r>
      <w:r>
        <w:t>”</w:t>
      </w:r>
      <w:r w:rsidR="00AE00F7">
        <w:rPr>
          <w:rStyle w:val="FootnoteReference"/>
        </w:rPr>
        <w:footnoteReference w:id="11"/>
      </w:r>
      <w:r w:rsidR="009D2D64">
        <w:t xml:space="preserve"> </w:t>
      </w:r>
      <w:r w:rsidR="00DE24E1">
        <w:t>w</w:t>
      </w:r>
      <w:r>
        <w:t>e a</w:t>
      </w:r>
      <w:r w:rsidR="00AE00F7">
        <w:t xml:space="preserve">gree with commenters that there is sufficient support that the definition indeed encompasses such service.  </w:t>
      </w:r>
    </w:p>
    <w:p w14:paraId="3EDC0303" w14:textId="2295FBC4" w:rsidR="00E01A4A" w:rsidRDefault="009D2D64" w:rsidP="00283814">
      <w:pPr>
        <w:spacing w:line="480" w:lineRule="auto"/>
        <w:jc w:val="both"/>
      </w:pPr>
      <w:r>
        <w:tab/>
      </w:r>
      <w:r>
        <w:tab/>
        <w:t xml:space="preserve">We do not agree that regulating an IP-based video service that is distributed over a provider’s own facilities under existing regulations </w:t>
      </w:r>
      <w:r w:rsidR="001D7B0C">
        <w:t xml:space="preserve">is not good policy as it </w:t>
      </w:r>
      <w:r>
        <w:t>would amount to a “</w:t>
      </w:r>
      <w:r w:rsidR="00CB72C0">
        <w:t xml:space="preserve">round </w:t>
      </w:r>
      <w:proofErr w:type="gramStart"/>
      <w:r>
        <w:t>hole</w:t>
      </w:r>
      <w:proofErr w:type="gramEnd"/>
      <w:r>
        <w:t xml:space="preserve">, square peg problem” as suggested by </w:t>
      </w:r>
      <w:proofErr w:type="spellStart"/>
      <w:r w:rsidR="004337D1">
        <w:t>CenturyLink’s</w:t>
      </w:r>
      <w:proofErr w:type="spellEnd"/>
      <w:r w:rsidR="004337D1">
        <w:t xml:space="preserve"> comments opposing</w:t>
      </w:r>
      <w:r>
        <w:t xml:space="preserve"> </w:t>
      </w:r>
      <w:r w:rsidR="00E01A4A">
        <w:t xml:space="preserve">the </w:t>
      </w:r>
      <w:r>
        <w:rPr>
          <w:i/>
        </w:rPr>
        <w:t>NPRM</w:t>
      </w:r>
      <w:r>
        <w:t>’s conclusion</w:t>
      </w:r>
      <w:r w:rsidR="007012BE">
        <w:t>.</w:t>
      </w:r>
      <w:r w:rsidR="007012BE">
        <w:rPr>
          <w:rStyle w:val="FootnoteReference"/>
        </w:rPr>
        <w:footnoteReference w:id="12"/>
      </w:r>
      <w:r w:rsidR="001D7B0C">
        <w:t xml:space="preserve"> </w:t>
      </w:r>
      <w:r w:rsidR="001D53DC">
        <w:t>The Cable Act defines the term “cable system” as</w:t>
      </w:r>
      <w:r w:rsidR="00E01A4A">
        <w:t>,</w:t>
      </w:r>
      <w:r w:rsidR="001D53DC">
        <w:t xml:space="preserve"> </w:t>
      </w:r>
    </w:p>
    <w:p w14:paraId="7B8C1B0D" w14:textId="4296A8DC" w:rsidR="00E01A4A" w:rsidRPr="004C4469" w:rsidRDefault="00E01A4A" w:rsidP="004C4469">
      <w:pPr>
        <w:pStyle w:val="Quote"/>
        <w:jc w:val="both"/>
        <w:rPr>
          <w:color w:val="auto"/>
        </w:rPr>
      </w:pPr>
      <w:r>
        <w:rPr>
          <w:i w:val="0"/>
          <w:color w:val="auto"/>
        </w:rPr>
        <w:t>[A]</w:t>
      </w:r>
      <w:r w:rsidR="001D53DC" w:rsidRPr="004C4469">
        <w:rPr>
          <w:i w:val="0"/>
          <w:color w:val="auto"/>
        </w:rPr>
        <w:t xml:space="preserve"> </w:t>
      </w:r>
      <w:proofErr w:type="gramStart"/>
      <w:r w:rsidR="001D53DC" w:rsidRPr="004C4469">
        <w:rPr>
          <w:i w:val="0"/>
          <w:color w:val="auto"/>
        </w:rPr>
        <w:t>facility</w:t>
      </w:r>
      <w:proofErr w:type="gramEnd"/>
      <w:r w:rsidR="001D53DC" w:rsidRPr="004C4469">
        <w:rPr>
          <w:i w:val="0"/>
          <w:color w:val="auto"/>
        </w:rPr>
        <w:t>, consisting of a set of closed transmission paths and associated signal generation, reception, and control equipment that is designed to provide cable service which includes video programming and which is provided to multiple subscribers within a community…</w:t>
      </w:r>
      <w:r w:rsidR="001D53DC" w:rsidRPr="004C4469">
        <w:rPr>
          <w:rStyle w:val="FootnoteReference"/>
          <w:i w:val="0"/>
          <w:color w:val="auto"/>
        </w:rPr>
        <w:footnoteReference w:id="13"/>
      </w:r>
      <w:r w:rsidR="00203DB0" w:rsidRPr="004C4469">
        <w:rPr>
          <w:i w:val="0"/>
          <w:color w:val="auto"/>
        </w:rPr>
        <w:t xml:space="preserve"> </w:t>
      </w:r>
    </w:p>
    <w:p w14:paraId="46C0AFD8" w14:textId="48F6CB24" w:rsidR="00203DB0" w:rsidRDefault="004337D1" w:rsidP="00283814">
      <w:pPr>
        <w:spacing w:line="480" w:lineRule="auto"/>
        <w:jc w:val="both"/>
      </w:pPr>
      <w:proofErr w:type="spellStart"/>
      <w:r>
        <w:lastRenderedPageBreak/>
        <w:t>CenturyLink’s</w:t>
      </w:r>
      <w:proofErr w:type="spellEnd"/>
      <w:r w:rsidR="00203DB0">
        <w:t xml:space="preserve"> </w:t>
      </w:r>
      <w:r w:rsidR="00B36A50">
        <w:t xml:space="preserve">analogy </w:t>
      </w:r>
      <w:r w:rsidR="00CB72C0">
        <w:t>is</w:t>
      </w:r>
      <w:r w:rsidR="00203DB0">
        <w:t xml:space="preserve"> wrongly focused on the technology that delivers programming and  ignores the fact that the definition of video programming in the Cable Act is primarily based upon the nature of the programming provided. </w:t>
      </w:r>
      <w:r w:rsidR="00B36A50">
        <w:t>Thus there is no issue with finding a good fit as t</w:t>
      </w:r>
      <w:r w:rsidR="00203DB0">
        <w:t xml:space="preserve">here is no place in the definition above that is dependent on the transmission technology that is used to deliver </w:t>
      </w:r>
      <w:r w:rsidR="00CB72C0">
        <w:t xml:space="preserve">the </w:t>
      </w:r>
      <w:r w:rsidR="00203DB0">
        <w:t xml:space="preserve">cable system.  </w:t>
      </w:r>
      <w:r w:rsidR="00B36A50">
        <w:t>T</w:t>
      </w:r>
      <w:r w:rsidR="001D53DC">
        <w:t>he Commission correctly concluded that “merely using IP to deliver cable service does not alter the classification of a facility as a cable system or of an entity as a cable operator.”</w:t>
      </w:r>
      <w:r w:rsidR="001D53DC">
        <w:rPr>
          <w:rStyle w:val="FootnoteReference"/>
        </w:rPr>
        <w:footnoteReference w:id="14"/>
      </w:r>
    </w:p>
    <w:p w14:paraId="6926D904" w14:textId="451B9B34" w:rsidR="009D2D64" w:rsidRDefault="003C1AE1" w:rsidP="00283814">
      <w:pPr>
        <w:spacing w:line="480" w:lineRule="auto"/>
        <w:ind w:firstLine="710"/>
        <w:jc w:val="both"/>
      </w:pPr>
      <w:r>
        <w:t xml:space="preserve">As the Cable Act truly </w:t>
      </w:r>
      <w:r w:rsidR="00CA03D6">
        <w:t xml:space="preserve">is </w:t>
      </w:r>
      <w:r w:rsidR="00CA03D6" w:rsidRPr="00317366">
        <w:t>technology-neutral</w:t>
      </w:r>
      <w:r w:rsidRPr="00317366">
        <w:t>, the</w:t>
      </w:r>
      <w:r>
        <w:t xml:space="preserve"> Commission was correct when it stated that “IP-based service provided by a cable operator over its facilities and within its footprint must be regulated as a cable service not only because it is compelled by the statutory definitions [but also because it is] good policy, as it ensures that cable operators will continue to be subject to the competitive, consumer-focused regulations that apply to cable even if they provide their services via IP.”</w:t>
      </w:r>
      <w:r>
        <w:rPr>
          <w:rStyle w:val="FootnoteReference"/>
        </w:rPr>
        <w:footnoteReference w:id="15"/>
      </w:r>
      <w:r>
        <w:t xml:space="preserve"> </w:t>
      </w:r>
      <w:r w:rsidR="00CA03D6">
        <w:t xml:space="preserve">In saying such, the </w:t>
      </w:r>
      <w:r w:rsidR="00CA03D6">
        <w:rPr>
          <w:i/>
        </w:rPr>
        <w:t xml:space="preserve">NPRM </w:t>
      </w:r>
      <w:r w:rsidR="00CA03D6">
        <w:t>acknowledges our primary concern</w:t>
      </w:r>
      <w:r w:rsidR="00203DB0">
        <w:t>s</w:t>
      </w:r>
      <w:r w:rsidR="00F614F4">
        <w:t>,</w:t>
      </w:r>
      <w:r w:rsidR="00CA03D6">
        <w:t xml:space="preserve"> </w:t>
      </w:r>
      <w:r w:rsidR="00685240">
        <w:t xml:space="preserve">that </w:t>
      </w:r>
      <w:r w:rsidR="00CA03D6">
        <w:t xml:space="preserve">the important public interest obligations that apply to cable operators </w:t>
      </w:r>
      <w:r w:rsidR="004337D1">
        <w:t>through</w:t>
      </w:r>
      <w:r w:rsidR="00CA03D6">
        <w:t xml:space="preserve"> “franchising requirements,” that include franchise fe</w:t>
      </w:r>
      <w:r w:rsidR="004337D1">
        <w:t xml:space="preserve">e requirements and, </w:t>
      </w:r>
      <w:r w:rsidR="00CA03D6">
        <w:t>more specifically</w:t>
      </w:r>
      <w:r w:rsidR="004337D1">
        <w:t>,</w:t>
      </w:r>
      <w:r w:rsidR="00CA03D6">
        <w:t xml:space="preserve"> </w:t>
      </w:r>
      <w:r w:rsidR="00685240">
        <w:t xml:space="preserve">franchise requirements related to </w:t>
      </w:r>
      <w:r w:rsidR="00CA03D6">
        <w:t>“public, educational, or governmental” access channel</w:t>
      </w:r>
      <w:r w:rsidR="00685240">
        <w:t>s</w:t>
      </w:r>
      <w:r w:rsidR="00CA03D6">
        <w:t xml:space="preserve"> and facilities</w:t>
      </w:r>
      <w:r w:rsidR="00F614F4">
        <w:t>, apply equally to IP-based services</w:t>
      </w:r>
      <w:r w:rsidR="00A96A11">
        <w:t>.</w:t>
      </w:r>
      <w:r w:rsidR="00A96A11">
        <w:rPr>
          <w:rStyle w:val="FootnoteReference"/>
        </w:rPr>
        <w:footnoteReference w:id="16"/>
      </w:r>
      <w:r w:rsidR="00CA03D6">
        <w:t xml:space="preserve"> </w:t>
      </w:r>
    </w:p>
    <w:p w14:paraId="58799EA0" w14:textId="5BAB8BB6" w:rsidR="0049798D" w:rsidRDefault="005D259C" w:rsidP="008E4F06">
      <w:pPr>
        <w:spacing w:line="480" w:lineRule="auto"/>
        <w:ind w:firstLine="710"/>
        <w:jc w:val="both"/>
      </w:pPr>
      <w:r>
        <w:t xml:space="preserve">The </w:t>
      </w:r>
      <w:r>
        <w:rPr>
          <w:i/>
        </w:rPr>
        <w:t>NPRM</w:t>
      </w:r>
      <w:r>
        <w:t xml:space="preserve">’s conclusion that linear IP video service is a </w:t>
      </w:r>
      <w:r w:rsidR="00B42204">
        <w:t>“cable service”</w:t>
      </w:r>
      <w:r>
        <w:t xml:space="preserve"> necessarily means that AT&amp;T’s U-verse video service is a “cable service,” and thus that AT&amp;T is a “cable operator” providing that service over a “cable System.” We are pleased that the Commission appears to have rested AT&amp;T’s longstanding claims to the contrary. The </w:t>
      </w:r>
      <w:r>
        <w:rPr>
          <w:i/>
        </w:rPr>
        <w:t>NPRM</w:t>
      </w:r>
      <w:r>
        <w:t xml:space="preserve">’s conclusions on these issues will be equally important to preserving the public interest policies of the Cable Act going forward, as </w:t>
      </w:r>
      <w:r>
        <w:lastRenderedPageBreak/>
        <w:t xml:space="preserve">traditional incumbent cable operators are </w:t>
      </w:r>
      <w:r w:rsidR="00197D3E">
        <w:t xml:space="preserve">likely progressing toward transitioning to linear IP video service in the years ahead. </w:t>
      </w:r>
    </w:p>
    <w:p w14:paraId="33600505" w14:textId="215AC8B2" w:rsidR="00197D3E" w:rsidRPr="00C01AB0" w:rsidRDefault="00F614F4" w:rsidP="00F614F4">
      <w:pPr>
        <w:spacing w:line="240" w:lineRule="auto"/>
        <w:ind w:left="1440" w:hanging="720"/>
        <w:jc w:val="both"/>
      </w:pPr>
      <w:r>
        <w:rPr>
          <w:b/>
        </w:rPr>
        <w:t>B.</w:t>
      </w:r>
      <w:r w:rsidR="00197D3E">
        <w:rPr>
          <w:b/>
        </w:rPr>
        <w:t xml:space="preserve"> </w:t>
      </w:r>
      <w:r w:rsidR="00197D3E">
        <w:rPr>
          <w:b/>
        </w:rPr>
        <w:tab/>
      </w:r>
      <w:r>
        <w:rPr>
          <w:b/>
        </w:rPr>
        <w:t>NWSCCC And NWCT Agree With Other Commenters Statements That The Provision By A Cable Operator Of OTT Video Programming Over A Cable System Is A “Cable Service.”</w:t>
      </w:r>
      <w:r>
        <w:t xml:space="preserve">  </w:t>
      </w:r>
      <w:r w:rsidR="00C01AB0" w:rsidRPr="00C01AB0">
        <w:rPr>
          <w:b/>
          <w:spacing w:val="-3"/>
          <w:szCs w:val="24"/>
        </w:rPr>
        <w:fldChar w:fldCharType="begin"/>
      </w:r>
      <w:r w:rsidR="00C01AB0" w:rsidRPr="00C01AB0">
        <w:rPr>
          <w:szCs w:val="24"/>
        </w:rPr>
        <w:instrText>tc "</w:instrText>
      </w:r>
      <w:bookmarkStart w:id="3" w:name="_Toc414871134"/>
      <w:r w:rsidR="00C01AB0">
        <w:rPr>
          <w:szCs w:val="24"/>
        </w:rPr>
        <w:instrText xml:space="preserve">II.  </w:instrText>
      </w:r>
      <w:r w:rsidR="00C01AB0">
        <w:rPr>
          <w:spacing w:val="-3"/>
          <w:szCs w:val="24"/>
        </w:rPr>
        <w:instrText>OTT Over a Cable System is a Cable Service</w:instrText>
      </w:r>
      <w:bookmarkEnd w:id="3"/>
      <w:r w:rsidR="00C01AB0" w:rsidRPr="00C01AB0">
        <w:rPr>
          <w:szCs w:val="24"/>
        </w:rPr>
        <w:instrText>" \f C \l 1</w:instrText>
      </w:r>
      <w:r w:rsidR="00C01AB0" w:rsidRPr="00C01AB0">
        <w:rPr>
          <w:b/>
          <w:spacing w:val="-3"/>
          <w:szCs w:val="24"/>
        </w:rPr>
        <w:fldChar w:fldCharType="end"/>
      </w:r>
    </w:p>
    <w:p w14:paraId="05AD6F3B" w14:textId="77777777" w:rsidR="00197D3E" w:rsidRDefault="00197D3E" w:rsidP="00283814">
      <w:pPr>
        <w:spacing w:line="480" w:lineRule="auto"/>
        <w:jc w:val="both"/>
        <w:rPr>
          <w:b/>
        </w:rPr>
      </w:pPr>
      <w:r>
        <w:rPr>
          <w:b/>
        </w:rPr>
        <w:tab/>
      </w:r>
    </w:p>
    <w:p w14:paraId="6990D8D0" w14:textId="61A62FA0" w:rsidR="00197D3E" w:rsidRDefault="00197D3E" w:rsidP="00283814">
      <w:pPr>
        <w:spacing w:line="480" w:lineRule="auto"/>
        <w:jc w:val="both"/>
      </w:pPr>
      <w:r>
        <w:rPr>
          <w:b/>
        </w:rPr>
        <w:tab/>
      </w:r>
      <w:r>
        <w:rPr>
          <w:b/>
        </w:rPr>
        <w:tab/>
      </w:r>
      <w:r>
        <w:t xml:space="preserve">NWSCCC and NWCT do not agree with the tentative conclusion of the </w:t>
      </w:r>
      <w:r>
        <w:rPr>
          <w:i/>
        </w:rPr>
        <w:t xml:space="preserve">NPRM </w:t>
      </w:r>
      <w:r>
        <w:t>that a cable operator’s OTT video programming service offerings are not a “cable service.”</w:t>
      </w:r>
      <w:r>
        <w:rPr>
          <w:rStyle w:val="FootnoteReference"/>
        </w:rPr>
        <w:footnoteReference w:id="17"/>
      </w:r>
      <w:r>
        <w:t xml:space="preserve"> We believe that this tentative conclusion is at odds with the Cable Act’s definition of “cable service.” </w:t>
      </w:r>
      <w:r w:rsidR="00B05AA1">
        <w:t>Besides our belief, the</w:t>
      </w:r>
      <w:r>
        <w:t xml:space="preserve"> </w:t>
      </w:r>
      <w:r>
        <w:rPr>
          <w:i/>
        </w:rPr>
        <w:t xml:space="preserve">NPRM </w:t>
      </w:r>
      <w:r>
        <w:t xml:space="preserve">itself elsewhere recognizes </w:t>
      </w:r>
      <w:r w:rsidR="00B05AA1">
        <w:t>that a cable operator’s OTT offering would clearly be “video programming.”</w:t>
      </w:r>
      <w:r w:rsidR="00B05AA1">
        <w:rPr>
          <w:rStyle w:val="FootnoteReference"/>
        </w:rPr>
        <w:footnoteReference w:id="18"/>
      </w:r>
      <w:r w:rsidR="00B05AA1">
        <w:t xml:space="preserve"> In addition, because a cable operator would exercise editorial control over its OTT video programming offering by choosing what to include in that offering, the operator’s provision of OTT video programming to subscribers over its cable system would constitute “the one-way transmissions to subscribers” of “video programming” within the meaning of 47 U.S.C. § 533(6</w:t>
      </w:r>
      <w:proofErr w:type="gramStart"/>
      <w:r w:rsidR="00B05AA1">
        <w:t>)(</w:t>
      </w:r>
      <w:proofErr w:type="gramEnd"/>
      <w:r w:rsidR="00B05AA1">
        <w:t>A) under both Commission</w:t>
      </w:r>
      <w:r w:rsidR="00B05AA1">
        <w:rPr>
          <w:rStyle w:val="FootnoteReference"/>
        </w:rPr>
        <w:footnoteReference w:id="19"/>
      </w:r>
      <w:r w:rsidR="0020710E">
        <w:t xml:space="preserve"> and court precedent.</w:t>
      </w:r>
      <w:r w:rsidR="0020710E">
        <w:rPr>
          <w:rStyle w:val="FootnoteReference"/>
        </w:rPr>
        <w:footnoteReference w:id="20"/>
      </w:r>
      <w:r w:rsidR="0020710E">
        <w:t xml:space="preserve"> The status of a cable operator’s OTT video programming offering as a “cable service” is not altered simply because subscribers may access such programming over Internet access provided over the cable operator’s system.  This reasoning is </w:t>
      </w:r>
      <w:r w:rsidR="00860EDF">
        <w:t xml:space="preserve">further </w:t>
      </w:r>
      <w:r w:rsidR="0020710E">
        <w:t xml:space="preserve">supported </w:t>
      </w:r>
      <w:r w:rsidR="00860EDF">
        <w:t xml:space="preserve">by the fact </w:t>
      </w:r>
      <w:r w:rsidR="0020710E">
        <w:t>that the “cable service” definition also encompasses “subscriber intera</w:t>
      </w:r>
      <w:r w:rsidR="00DD60D9">
        <w:t>c</w:t>
      </w:r>
      <w:r w:rsidR="0020710E">
        <w:t>tion</w:t>
      </w:r>
      <w:r w:rsidR="00DD60D9">
        <w:t>…which is required for the selection or us of such video programming or other programming service,” 47 U.S.C. § 522(6</w:t>
      </w:r>
      <w:proofErr w:type="gramStart"/>
      <w:r w:rsidR="00DD60D9">
        <w:t>)(</w:t>
      </w:r>
      <w:proofErr w:type="gramEnd"/>
      <w:r w:rsidR="00DD60D9">
        <w:t xml:space="preserve">B). The subscriber is indeed </w:t>
      </w:r>
      <w:r w:rsidR="00DD60D9">
        <w:lastRenderedPageBreak/>
        <w:t xml:space="preserve">“interacting” as the individual is making a “selection or use” of the cable operator’s OTT offering when using the operator’s cable system. </w:t>
      </w:r>
    </w:p>
    <w:p w14:paraId="577BA28F" w14:textId="262F846B" w:rsidR="00DA0A07" w:rsidRDefault="00951655" w:rsidP="00DA0A07">
      <w:pPr>
        <w:spacing w:line="480" w:lineRule="auto"/>
        <w:jc w:val="both"/>
      </w:pPr>
      <w:r>
        <w:tab/>
      </w:r>
      <w:r>
        <w:tab/>
      </w:r>
      <w:r w:rsidR="00DA0A07">
        <w:t xml:space="preserve">It follows that there would not be a “square peg, round hole” fit issue in this instance either; as a cable operator’s OTT video programming offerings </w:t>
      </w:r>
      <w:r w:rsidR="00860EDF">
        <w:t xml:space="preserve">fit squarely </w:t>
      </w:r>
      <w:r w:rsidR="00DA0A07">
        <w:t xml:space="preserve"> within the Cable Act’s definition of “cable service.” Additionally, within the cable operator’s cable footprint, those cable services would be provided over that cable operator’s cable system. </w:t>
      </w:r>
    </w:p>
    <w:p w14:paraId="7F8AAD3F" w14:textId="0FFAE938" w:rsidR="00381E5D" w:rsidRDefault="009B42DD" w:rsidP="006F6307">
      <w:pPr>
        <w:spacing w:line="480" w:lineRule="auto"/>
        <w:ind w:left="0" w:firstLine="720"/>
        <w:jc w:val="both"/>
      </w:pPr>
      <w:r>
        <w:t xml:space="preserve">We </w:t>
      </w:r>
      <w:r w:rsidR="00DA0A07">
        <w:t xml:space="preserve">also </w:t>
      </w:r>
      <w:r>
        <w:t>agree wi</w:t>
      </w:r>
      <w:r w:rsidR="00EF1458">
        <w:t>th other commenters who note that</w:t>
      </w:r>
      <w:r>
        <w:t xml:space="preserve"> a</w:t>
      </w:r>
      <w:r w:rsidR="00106AA4">
        <w:t xml:space="preserve"> cable system subscriber continues to interact with the operator’s cable system even when the services are accessed by the subscriber outside of the franchised area.</w:t>
      </w:r>
      <w:r w:rsidR="00106AA4">
        <w:rPr>
          <w:rStyle w:val="FootnoteReference"/>
        </w:rPr>
        <w:footnoteReference w:id="21"/>
      </w:r>
      <w:r>
        <w:t xml:space="preserve"> </w:t>
      </w:r>
      <w:r w:rsidR="00A107EF">
        <w:t xml:space="preserve">There should not be a restriction on the definition </w:t>
      </w:r>
      <w:r w:rsidR="00EF1458">
        <w:t xml:space="preserve">of cable services </w:t>
      </w:r>
      <w:r w:rsidR="00DC3C3C">
        <w:t xml:space="preserve">in regard to the franchise </w:t>
      </w:r>
      <w:r w:rsidR="00EF1458">
        <w:t>boundary</w:t>
      </w:r>
      <w:r w:rsidR="009753F1">
        <w:t>. We are concerned that the</w:t>
      </w:r>
      <w:r w:rsidR="00A107EF">
        <w:t xml:space="preserve"> Commission</w:t>
      </w:r>
      <w:r w:rsidR="009753F1">
        <w:t>’s conclusion</w:t>
      </w:r>
      <w:r w:rsidR="00EF1458">
        <w:t>,</w:t>
      </w:r>
      <w:r w:rsidR="00A107EF">
        <w:t xml:space="preserve"> “an entity that delivers cable services via IP is a cable operator to the extent it delivers those services as managed video services over its own faci</w:t>
      </w:r>
      <w:r w:rsidR="009753F1">
        <w:t>lities and within its footprint</w:t>
      </w:r>
      <w:r w:rsidR="00EF1458">
        <w:t>,</w:t>
      </w:r>
      <w:r w:rsidR="00A107EF">
        <w:t>”</w:t>
      </w:r>
      <w:r w:rsidR="00A107EF">
        <w:rPr>
          <w:rStyle w:val="FootnoteReference"/>
        </w:rPr>
        <w:footnoteReference w:id="22"/>
      </w:r>
      <w:r w:rsidR="009753F1">
        <w:t xml:space="preserve"> may allow for cable operators to dodge their franchise obligations when the operator’s cable services are accessed by cable system subscribers temporarily outside of the footprint of the cable company’s franchised area.</w:t>
      </w:r>
      <w:r w:rsidR="009753F1">
        <w:rPr>
          <w:rStyle w:val="FootnoteReference"/>
        </w:rPr>
        <w:footnoteReference w:id="23"/>
      </w:r>
      <w:r w:rsidR="00A107EF">
        <w:t xml:space="preserve"> </w:t>
      </w:r>
      <w:r>
        <w:t>By k</w:t>
      </w:r>
      <w:r w:rsidR="00951655">
        <w:t xml:space="preserve">eeping in mind </w:t>
      </w:r>
      <w:r w:rsidR="00D12542">
        <w:t xml:space="preserve">the only reason why a cable subscriber has the ability to access the OTT service offered by the cable operator </w:t>
      </w:r>
      <w:r w:rsidR="006F6307">
        <w:t xml:space="preserve">while they are outside of the franchise area </w:t>
      </w:r>
      <w:r w:rsidR="00D12542">
        <w:t>is because of the subscription the subscri</w:t>
      </w:r>
      <w:r w:rsidR="006F6307">
        <w:t>ber has with the cable operator;</w:t>
      </w:r>
      <w:r w:rsidR="00D12542">
        <w:t xml:space="preserve"> the OTT service </w:t>
      </w:r>
      <w:r w:rsidR="006F6307">
        <w:t>offered by the cable operator to its subscribers should remain</w:t>
      </w:r>
      <w:r w:rsidR="00D12542">
        <w:t xml:space="preserve"> a part of the cable system within the right-of-way that makes such services possible</w:t>
      </w:r>
      <w:r w:rsidR="004C4469">
        <w:t xml:space="preserve">. </w:t>
      </w:r>
      <w:r w:rsidR="00DC3C3C">
        <w:t xml:space="preserve">Thus, the legal character of the video programming </w:t>
      </w:r>
      <w:r w:rsidR="0056078B">
        <w:t xml:space="preserve">services does not change simply because the operator has made available it services outside the facilities and footprint of the franchise agreement. </w:t>
      </w:r>
    </w:p>
    <w:p w14:paraId="472A2EE5" w14:textId="203CD83E" w:rsidR="0049798D" w:rsidRPr="00197D3E" w:rsidRDefault="008F5FA7" w:rsidP="004C4469">
      <w:pPr>
        <w:spacing w:line="480" w:lineRule="auto"/>
        <w:jc w:val="both"/>
      </w:pPr>
      <w:r>
        <w:lastRenderedPageBreak/>
        <w:tab/>
      </w:r>
      <w:r>
        <w:tab/>
      </w:r>
      <w:r w:rsidR="00516E7B">
        <w:t>W</w:t>
      </w:r>
      <w:r>
        <w:t xml:space="preserve">e are </w:t>
      </w:r>
      <w:r w:rsidR="003C0477">
        <w:t xml:space="preserve">very </w:t>
      </w:r>
      <w:r>
        <w:t>concerned with the potential negative effect of allowing or promoting an unbalanced method</w:t>
      </w:r>
      <w:r w:rsidR="00847F19">
        <w:t xml:space="preserve"> from a public policy perspective, </w:t>
      </w:r>
      <w:r w:rsidR="00516E7B">
        <w:t xml:space="preserve">as this aspect of the </w:t>
      </w:r>
      <w:r w:rsidR="00516E7B">
        <w:rPr>
          <w:i/>
        </w:rPr>
        <w:t xml:space="preserve">NPRM </w:t>
      </w:r>
      <w:r w:rsidR="00516E7B">
        <w:t>may provide an incentive to cable operators to promote services that diverge from the public benefits objective within the Cable Act.</w:t>
      </w:r>
      <w:r w:rsidR="004D0317">
        <w:t xml:space="preserve"> </w:t>
      </w:r>
      <w:r w:rsidR="00AB091B">
        <w:t xml:space="preserve">In particular, </w:t>
      </w:r>
      <w:r>
        <w:t>we are</w:t>
      </w:r>
      <w:r w:rsidR="004D0317" w:rsidRPr="004D0317">
        <w:t xml:space="preserve"> </w:t>
      </w:r>
      <w:r w:rsidR="004D0317">
        <w:t>troubled by the</w:t>
      </w:r>
      <w:r>
        <w:t xml:space="preserve"> potential diminishing of </w:t>
      </w:r>
      <w:r w:rsidR="005B6671">
        <w:t xml:space="preserve">public interest </w:t>
      </w:r>
      <w:r>
        <w:t xml:space="preserve">benefits </w:t>
      </w:r>
      <w:r w:rsidR="005B6671">
        <w:t xml:space="preserve">of </w:t>
      </w:r>
      <w:r>
        <w:t xml:space="preserve">PEG channels </w:t>
      </w:r>
      <w:r w:rsidR="00516E7B">
        <w:t xml:space="preserve">and franchise </w:t>
      </w:r>
      <w:r w:rsidR="004D0317">
        <w:t>fees</w:t>
      </w:r>
      <w:r w:rsidR="005B6671">
        <w:t>,</w:t>
      </w:r>
      <w:r w:rsidR="004D0317">
        <w:t xml:space="preserve"> if the Commission proceeds with </w:t>
      </w:r>
      <w:r w:rsidR="00AB091B">
        <w:t xml:space="preserve">its </w:t>
      </w:r>
      <w:r w:rsidR="004D0317">
        <w:t>tentative conclusion that a cable operator’s OTT video programming service offerings are not a “cable service.”</w:t>
      </w:r>
    </w:p>
    <w:p w14:paraId="5FCBE3C6" w14:textId="3E2A6CD0" w:rsidR="00BB23F9" w:rsidRPr="00C01AB0" w:rsidRDefault="00475576" w:rsidP="004C4469">
      <w:pPr>
        <w:pStyle w:val="ListParagraph"/>
        <w:numPr>
          <w:ilvl w:val="0"/>
          <w:numId w:val="3"/>
        </w:numPr>
        <w:spacing w:line="480" w:lineRule="auto"/>
        <w:ind w:left="720"/>
        <w:jc w:val="both"/>
      </w:pPr>
      <w:r w:rsidRPr="005B6671">
        <w:rPr>
          <w:b/>
        </w:rPr>
        <w:t>CONCLUSION</w:t>
      </w:r>
      <w:r w:rsidR="00C01AB0">
        <w:t xml:space="preserve"> </w:t>
      </w:r>
      <w:r w:rsidR="00C01AB0" w:rsidRPr="005B6671">
        <w:rPr>
          <w:b/>
          <w:spacing w:val="-3"/>
          <w:szCs w:val="24"/>
        </w:rPr>
        <w:fldChar w:fldCharType="begin"/>
      </w:r>
      <w:r w:rsidR="00C01AB0" w:rsidRPr="005B6671">
        <w:rPr>
          <w:szCs w:val="24"/>
        </w:rPr>
        <w:instrText>tc "</w:instrText>
      </w:r>
      <w:bookmarkStart w:id="4" w:name="_Toc414871135"/>
      <w:r w:rsidR="00C01AB0" w:rsidRPr="005B6671">
        <w:rPr>
          <w:spacing w:val="-3"/>
          <w:szCs w:val="24"/>
        </w:rPr>
        <w:instrText>Conclusion</w:instrText>
      </w:r>
      <w:bookmarkEnd w:id="4"/>
      <w:r w:rsidR="00C01AB0" w:rsidRPr="005B6671">
        <w:rPr>
          <w:szCs w:val="24"/>
        </w:rPr>
        <w:instrText>" \f C \l 1</w:instrText>
      </w:r>
      <w:r w:rsidR="00C01AB0" w:rsidRPr="005B6671">
        <w:rPr>
          <w:b/>
          <w:spacing w:val="-3"/>
          <w:szCs w:val="24"/>
        </w:rPr>
        <w:fldChar w:fldCharType="end"/>
      </w:r>
    </w:p>
    <w:p w14:paraId="2BEE05D6" w14:textId="6B71C0A0" w:rsidR="00475576" w:rsidRPr="00475576" w:rsidRDefault="00475576" w:rsidP="00283814">
      <w:pPr>
        <w:spacing w:line="480" w:lineRule="auto"/>
        <w:jc w:val="both"/>
      </w:pPr>
      <w:r>
        <w:rPr>
          <w:b/>
        </w:rPr>
        <w:tab/>
      </w:r>
      <w:r>
        <w:rPr>
          <w:b/>
        </w:rPr>
        <w:tab/>
      </w:r>
      <w:r>
        <w:t xml:space="preserve">Echoing </w:t>
      </w:r>
      <w:r w:rsidR="00BF01A1">
        <w:t xml:space="preserve">many </w:t>
      </w:r>
      <w:r>
        <w:t xml:space="preserve">commenters before us, we ask the Commission to adhere to the </w:t>
      </w:r>
      <w:r>
        <w:rPr>
          <w:i/>
        </w:rPr>
        <w:t>NPRM</w:t>
      </w:r>
      <w:r>
        <w:t xml:space="preserve">’s conclusion that the Cable Act’s “cable service” definition includes linear IP video service. </w:t>
      </w:r>
      <w:r w:rsidR="00AB091B">
        <w:t xml:space="preserve">Further we urge the Commission </w:t>
      </w:r>
      <w:r>
        <w:t xml:space="preserve">not </w:t>
      </w:r>
      <w:r w:rsidR="00AB091B">
        <w:t xml:space="preserve">to </w:t>
      </w:r>
      <w:r>
        <w:t xml:space="preserve">adopt the </w:t>
      </w:r>
      <w:r>
        <w:rPr>
          <w:i/>
        </w:rPr>
        <w:t>NPRM</w:t>
      </w:r>
      <w:r>
        <w:t>’s tentative conclusion that a cable operator’s OTT video programming offering is not a “cable service</w:t>
      </w:r>
      <w:r w:rsidR="00AB091B">
        <w:t>,</w:t>
      </w:r>
      <w:r>
        <w:t>” and conclude instead that such offering is a “cable service.”</w:t>
      </w:r>
    </w:p>
    <w:p w14:paraId="2E21DE5C" w14:textId="7E04FBCD" w:rsidR="00FD3FBE" w:rsidRDefault="0049798D" w:rsidP="004C4469">
      <w:pPr>
        <w:spacing w:after="160" w:line="259" w:lineRule="auto"/>
        <w:ind w:left="0" w:firstLine="0"/>
      </w:pPr>
      <w:r>
        <w:tab/>
      </w:r>
      <w:r>
        <w:tab/>
      </w:r>
      <w:r>
        <w:tab/>
      </w:r>
      <w:r>
        <w:tab/>
      </w:r>
      <w:r w:rsidR="00FD3FBE">
        <w:tab/>
      </w:r>
      <w:r w:rsidR="00FD3FBE">
        <w:tab/>
      </w:r>
      <w:r w:rsidR="00FD3FBE">
        <w:tab/>
        <w:t>Respectfully submitted,</w:t>
      </w:r>
    </w:p>
    <w:p w14:paraId="18B79CEB" w14:textId="1C4C3E7E" w:rsidR="00F0376B" w:rsidRDefault="00FD3FBE" w:rsidP="00F0376B">
      <w:pPr>
        <w:jc w:val="both"/>
      </w:pPr>
      <w:r>
        <w:tab/>
      </w:r>
    </w:p>
    <w:p w14:paraId="340622AB" w14:textId="28F682A0" w:rsidR="00F0376B" w:rsidRDefault="00F0376B" w:rsidP="00283814">
      <w:pPr>
        <w:jc w:val="both"/>
      </w:pPr>
      <w:r>
        <w:tab/>
      </w:r>
      <w:r>
        <w:tab/>
      </w:r>
      <w:r>
        <w:tab/>
      </w:r>
      <w:r>
        <w:tab/>
      </w:r>
      <w:r>
        <w:tab/>
      </w:r>
      <w:r>
        <w:tab/>
      </w:r>
      <w:r>
        <w:tab/>
      </w:r>
      <w:r>
        <w:tab/>
        <w:t>/s/ Adrian Herbst</w:t>
      </w:r>
    </w:p>
    <w:p w14:paraId="7F4A5F43" w14:textId="0FDE62C8" w:rsidR="00F0376B" w:rsidRPr="00F0376B" w:rsidRDefault="00FD3FBE" w:rsidP="00283814">
      <w:pPr>
        <w:jc w:val="both"/>
        <w:rPr>
          <w:u w:val="single"/>
        </w:rPr>
      </w:pPr>
      <w:r w:rsidRPr="00F0376B">
        <w:tab/>
      </w:r>
      <w:r w:rsidR="00F0376B">
        <w:tab/>
      </w:r>
      <w:r w:rsidR="00F0376B">
        <w:tab/>
      </w:r>
      <w:r w:rsidR="00F0376B">
        <w:tab/>
      </w:r>
      <w:r w:rsidR="00F0376B">
        <w:tab/>
      </w:r>
      <w:r w:rsidR="00F0376B">
        <w:tab/>
      </w:r>
      <w:r w:rsidR="00F0376B">
        <w:tab/>
      </w:r>
      <w:r w:rsidR="00F0376B">
        <w:tab/>
      </w:r>
      <w:r w:rsidR="00F0376B">
        <w:rPr>
          <w:u w:val="single"/>
        </w:rPr>
        <w:t>/s/ Leslie</w:t>
      </w:r>
      <w:r w:rsidR="00F0376B" w:rsidRPr="00F0376B">
        <w:rPr>
          <w:u w:val="single"/>
        </w:rPr>
        <w:t xml:space="preserve"> Saporito</w:t>
      </w:r>
    </w:p>
    <w:p w14:paraId="65C83521" w14:textId="21CCE77E" w:rsidR="00FD3FBE" w:rsidRPr="00F0376B" w:rsidRDefault="00FD3FBE" w:rsidP="00F0376B">
      <w:pPr>
        <w:jc w:val="both"/>
        <w:rPr>
          <w:u w:val="single"/>
        </w:rPr>
      </w:pPr>
      <w:r>
        <w:rPr>
          <w:u w:val="single"/>
        </w:rPr>
        <w:tab/>
      </w:r>
    </w:p>
    <w:p w14:paraId="3399ACB6" w14:textId="7DE20248" w:rsidR="00FD3FBE" w:rsidRDefault="00F0376B" w:rsidP="00283814">
      <w:pPr>
        <w:jc w:val="both"/>
      </w:pPr>
      <w:r>
        <w:tab/>
      </w:r>
      <w:r>
        <w:tab/>
      </w:r>
      <w:r>
        <w:tab/>
      </w:r>
      <w:r>
        <w:tab/>
      </w:r>
      <w:r>
        <w:tab/>
      </w:r>
      <w:r>
        <w:tab/>
      </w:r>
      <w:r>
        <w:tab/>
      </w:r>
      <w:r>
        <w:tab/>
        <w:t>Adrian</w:t>
      </w:r>
      <w:r w:rsidR="00FD3FBE">
        <w:t xml:space="preserve"> Herbst</w:t>
      </w:r>
    </w:p>
    <w:p w14:paraId="4CD98472" w14:textId="6D6A7CD2" w:rsidR="00F0376B" w:rsidRDefault="00F0376B" w:rsidP="00283814">
      <w:pPr>
        <w:jc w:val="both"/>
      </w:pPr>
      <w:r>
        <w:tab/>
      </w:r>
      <w:r>
        <w:tab/>
      </w:r>
      <w:r>
        <w:tab/>
      </w:r>
      <w:r>
        <w:tab/>
      </w:r>
      <w:r>
        <w:tab/>
      </w:r>
      <w:r>
        <w:tab/>
      </w:r>
      <w:r>
        <w:tab/>
      </w:r>
      <w:r>
        <w:tab/>
      </w:r>
      <w:r w:rsidRPr="00F0376B">
        <w:t>Leslie Saporito</w:t>
      </w:r>
    </w:p>
    <w:p w14:paraId="7D47F8B1" w14:textId="43D1807A" w:rsidR="00F0376B" w:rsidRPr="00FD3FBE" w:rsidRDefault="00F0376B" w:rsidP="00283814">
      <w:pPr>
        <w:jc w:val="both"/>
      </w:pPr>
      <w:r>
        <w:tab/>
      </w:r>
      <w:r>
        <w:tab/>
      </w:r>
      <w:r>
        <w:tab/>
      </w:r>
      <w:r>
        <w:tab/>
      </w:r>
      <w:r>
        <w:tab/>
      </w:r>
      <w:r>
        <w:tab/>
      </w:r>
      <w:r>
        <w:tab/>
      </w:r>
      <w:r>
        <w:tab/>
        <w:t>Sean Stokes</w:t>
      </w:r>
    </w:p>
    <w:p w14:paraId="07079C28" w14:textId="77777777" w:rsidR="00AE012C" w:rsidRDefault="00AE012C" w:rsidP="00283814">
      <w:pPr>
        <w:jc w:val="both"/>
      </w:pPr>
    </w:p>
    <w:p w14:paraId="3BF3C0B9" w14:textId="7B809171" w:rsidR="00AE012C" w:rsidRDefault="00FD3FBE" w:rsidP="00283814">
      <w:pPr>
        <w:jc w:val="both"/>
      </w:pPr>
      <w:r>
        <w:t>Michael Johnson</w:t>
      </w:r>
      <w:r>
        <w:tab/>
      </w:r>
      <w:r>
        <w:tab/>
      </w:r>
      <w:r>
        <w:tab/>
      </w:r>
      <w:r>
        <w:tab/>
      </w:r>
      <w:r>
        <w:tab/>
        <w:t>BALLER HERBST STOKES &amp; LIDE, P.C.</w:t>
      </w:r>
    </w:p>
    <w:p w14:paraId="55317FF9" w14:textId="2E258AEC" w:rsidR="00FD3FBE" w:rsidRDefault="00FD3FBE" w:rsidP="00283814">
      <w:pPr>
        <w:jc w:val="both"/>
      </w:pPr>
      <w:r>
        <w:tab/>
        <w:t>Executive Director &amp; General Manager</w:t>
      </w:r>
      <w:r>
        <w:tab/>
      </w:r>
      <w:r>
        <w:tab/>
        <w:t>280N Grain Exchange Building</w:t>
      </w:r>
    </w:p>
    <w:p w14:paraId="65A4AC90" w14:textId="0230D104" w:rsidR="00FD3FBE" w:rsidRDefault="00FD3FBE" w:rsidP="00283814">
      <w:pPr>
        <w:jc w:val="both"/>
      </w:pPr>
      <w:r>
        <w:tab/>
        <w:t>NWSCCC &amp; NWCT</w:t>
      </w:r>
      <w:r>
        <w:tab/>
      </w:r>
      <w:r>
        <w:tab/>
      </w:r>
      <w:r>
        <w:tab/>
      </w:r>
      <w:r>
        <w:tab/>
      </w:r>
      <w:r>
        <w:tab/>
        <w:t>301 Fourth Avenue South</w:t>
      </w:r>
    </w:p>
    <w:p w14:paraId="05799845" w14:textId="00DE2398" w:rsidR="00FD3FBE" w:rsidRDefault="00FD3FBE" w:rsidP="00283814">
      <w:pPr>
        <w:jc w:val="both"/>
      </w:pPr>
      <w:r>
        <w:tab/>
        <w:t>6900 Winnetka Avenue North</w:t>
      </w:r>
      <w:r>
        <w:tab/>
      </w:r>
      <w:r>
        <w:tab/>
      </w:r>
      <w:r>
        <w:tab/>
        <w:t>Minneapolis, MN  55415</w:t>
      </w:r>
    </w:p>
    <w:p w14:paraId="42F4053C" w14:textId="25C6C1C0" w:rsidR="00AE012C" w:rsidRDefault="00FD3FBE" w:rsidP="00AE012C">
      <w:pPr>
        <w:ind w:left="0" w:firstLine="0"/>
        <w:jc w:val="both"/>
      </w:pPr>
      <w:r>
        <w:t>Brooklyn Park, MN  55428</w:t>
      </w:r>
      <w:r>
        <w:tab/>
      </w:r>
      <w:r>
        <w:tab/>
      </w:r>
      <w:r>
        <w:tab/>
      </w:r>
      <w:r>
        <w:tab/>
        <w:t>Office:  612-339-2026</w:t>
      </w:r>
    </w:p>
    <w:p w14:paraId="6C4F7D57" w14:textId="497C24FF" w:rsidR="00FD3FBE" w:rsidRDefault="00FD3FBE" w:rsidP="00AE012C">
      <w:pPr>
        <w:ind w:left="0" w:firstLine="0"/>
        <w:jc w:val="both"/>
      </w:pPr>
      <w:r>
        <w:t>Office:  763-533-8196</w:t>
      </w:r>
      <w:r>
        <w:tab/>
      </w:r>
      <w:r>
        <w:tab/>
      </w:r>
      <w:r>
        <w:tab/>
      </w:r>
      <w:r>
        <w:tab/>
      </w:r>
      <w:r>
        <w:tab/>
        <w:t>Fax:  612- 339-4789</w:t>
      </w:r>
    </w:p>
    <w:p w14:paraId="00BCDC52" w14:textId="67AAF7E0" w:rsidR="00FD3FBE" w:rsidRDefault="00F0376B" w:rsidP="00AE012C">
      <w:pPr>
        <w:ind w:left="0" w:firstLine="0"/>
        <w:jc w:val="both"/>
      </w:pPr>
      <w:r>
        <w:tab/>
      </w:r>
      <w:r>
        <w:tab/>
      </w:r>
      <w:r>
        <w:tab/>
      </w:r>
      <w:r>
        <w:tab/>
      </w:r>
      <w:r>
        <w:tab/>
      </w:r>
      <w:r>
        <w:tab/>
      </w:r>
      <w:r>
        <w:tab/>
      </w:r>
    </w:p>
    <w:p w14:paraId="4A4AE7BE" w14:textId="1F72C744" w:rsidR="00FD3FBE" w:rsidRDefault="00FD3FBE" w:rsidP="00AE012C">
      <w:pPr>
        <w:ind w:left="0" w:firstLine="0"/>
        <w:jc w:val="both"/>
      </w:pPr>
      <w:r>
        <w:tab/>
      </w:r>
      <w:r>
        <w:tab/>
      </w:r>
      <w:r>
        <w:tab/>
      </w:r>
      <w:r>
        <w:tab/>
      </w:r>
      <w:r>
        <w:tab/>
      </w:r>
      <w:r>
        <w:tab/>
      </w:r>
      <w:r>
        <w:tab/>
        <w:t>Counsel for NWSCCC and NWCT</w:t>
      </w:r>
    </w:p>
    <w:p w14:paraId="4056DD19" w14:textId="5F6CD99A" w:rsidR="00FD3FBE" w:rsidRPr="00C453D3" w:rsidRDefault="00FD3FBE" w:rsidP="00AE012C">
      <w:pPr>
        <w:ind w:left="0" w:firstLine="0"/>
        <w:jc w:val="both"/>
      </w:pPr>
      <w:r>
        <w:t>April 1, 2015</w:t>
      </w:r>
    </w:p>
    <w:sectPr w:rsidR="00FD3FBE" w:rsidRPr="00C453D3" w:rsidSect="00C01AB0">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48854" w14:textId="77777777" w:rsidR="00AB0EB4" w:rsidRDefault="00AB0EB4" w:rsidP="00552AF0">
      <w:pPr>
        <w:spacing w:after="0" w:line="240" w:lineRule="auto"/>
      </w:pPr>
      <w:r>
        <w:separator/>
      </w:r>
    </w:p>
  </w:endnote>
  <w:endnote w:type="continuationSeparator" w:id="0">
    <w:p w14:paraId="62488B40" w14:textId="77777777" w:rsidR="00AB0EB4" w:rsidRDefault="00AB0EB4" w:rsidP="0055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12ECF" w14:textId="77777777" w:rsidR="002E6AA5" w:rsidRDefault="002E6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DA380" w14:textId="77777777" w:rsidR="002E6AA5" w:rsidRDefault="002E6A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C89F" w14:textId="77777777" w:rsidR="002E6AA5" w:rsidRDefault="002E6AA5">
    <w:pPr>
      <w:pStyle w:val="Footer"/>
      <w:jc w:val="center"/>
    </w:pPr>
  </w:p>
  <w:p w14:paraId="5D376BEE" w14:textId="77777777" w:rsidR="002E6AA5" w:rsidRDefault="002E6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9814" w14:textId="77777777" w:rsidR="002E6AA5" w:rsidRDefault="002E6AA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7576E" w14:textId="77777777" w:rsidR="002E6AA5" w:rsidRDefault="002E6AA5">
    <w:pPr>
      <w:pStyle w:val="Footer"/>
      <w:jc w:val="center"/>
    </w:pPr>
    <w:r>
      <w:rPr>
        <w:rStyle w:val="PageNumber"/>
      </w:rPr>
      <w:fldChar w:fldCharType="begin"/>
    </w:r>
    <w:r>
      <w:rPr>
        <w:rStyle w:val="PageNumber"/>
      </w:rPr>
      <w:instrText xml:space="preserve"> PAGE </w:instrText>
    </w:r>
    <w:r>
      <w:rPr>
        <w:rStyle w:val="PageNumber"/>
      </w:rPr>
      <w:fldChar w:fldCharType="separate"/>
    </w:r>
    <w:r w:rsidR="009F21A8">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32000"/>
      <w:docPartObj>
        <w:docPartGallery w:val="Page Numbers (Bottom of Page)"/>
        <w:docPartUnique/>
      </w:docPartObj>
    </w:sdtPr>
    <w:sdtEndPr>
      <w:rPr>
        <w:noProof/>
      </w:rPr>
    </w:sdtEndPr>
    <w:sdtContent>
      <w:p w14:paraId="39AA14B9" w14:textId="77777777" w:rsidR="002F726B" w:rsidRDefault="002F726B">
        <w:pPr>
          <w:pStyle w:val="Footer"/>
          <w:jc w:val="center"/>
        </w:pPr>
        <w:r>
          <w:fldChar w:fldCharType="begin"/>
        </w:r>
        <w:r>
          <w:instrText xml:space="preserve"> PAGE   \* MERGEFORMAT </w:instrText>
        </w:r>
        <w:r>
          <w:fldChar w:fldCharType="separate"/>
        </w:r>
        <w:r w:rsidR="009F21A8">
          <w:rPr>
            <w:noProof/>
          </w:rPr>
          <w:t>9</w:t>
        </w:r>
        <w:r>
          <w:rPr>
            <w:noProof/>
          </w:rPr>
          <w:fldChar w:fldCharType="end"/>
        </w:r>
      </w:p>
    </w:sdtContent>
  </w:sdt>
  <w:p w14:paraId="4CE9C6B6" w14:textId="77777777" w:rsidR="002F726B" w:rsidRDefault="002F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60CD" w14:textId="77777777" w:rsidR="00AB0EB4" w:rsidRDefault="00AB0EB4" w:rsidP="00552AF0">
      <w:pPr>
        <w:spacing w:after="0" w:line="240" w:lineRule="auto"/>
      </w:pPr>
      <w:r>
        <w:separator/>
      </w:r>
    </w:p>
  </w:footnote>
  <w:footnote w:type="continuationSeparator" w:id="0">
    <w:p w14:paraId="730D9816" w14:textId="77777777" w:rsidR="00AB0EB4" w:rsidRDefault="00AB0EB4" w:rsidP="00552AF0">
      <w:pPr>
        <w:spacing w:after="0" w:line="240" w:lineRule="auto"/>
      </w:pPr>
      <w:r>
        <w:continuationSeparator/>
      </w:r>
    </w:p>
  </w:footnote>
  <w:footnote w:id="1">
    <w:p w14:paraId="06A782A3" w14:textId="77777777" w:rsidR="00552AF0" w:rsidRPr="00552AF0" w:rsidRDefault="00552AF0" w:rsidP="00283814">
      <w:pPr>
        <w:pStyle w:val="FootnoteText"/>
        <w:ind w:left="720" w:hanging="720"/>
        <w:jc w:val="both"/>
      </w:pPr>
      <w:r>
        <w:rPr>
          <w:rStyle w:val="FootnoteReference"/>
        </w:rPr>
        <w:footnoteRef/>
      </w:r>
      <w:r>
        <w:t xml:space="preserve"> </w:t>
      </w:r>
      <w:r w:rsidR="006F0D6C">
        <w:tab/>
      </w:r>
      <w:r>
        <w:rPr>
          <w:i/>
        </w:rPr>
        <w:t xml:space="preserve">See Promoting Innovation and Competition in the Provision of Multichannel Video Programming Distribution Services, </w:t>
      </w:r>
      <w:r>
        <w:t xml:space="preserve">MB Docket No. 14-261, Notice of Proposed Rulemaking, 29 FCC </w:t>
      </w:r>
      <w:proofErr w:type="spellStart"/>
      <w:r>
        <w:t>Rcd</w:t>
      </w:r>
      <w:proofErr w:type="spellEnd"/>
      <w:r>
        <w:t xml:space="preserve"> 15995 (2014) (“</w:t>
      </w:r>
      <w:r w:rsidRPr="00E85204">
        <w:rPr>
          <w:i/>
        </w:rPr>
        <w:t>NPRM</w:t>
      </w:r>
      <w:r>
        <w:t>”)</w:t>
      </w:r>
    </w:p>
  </w:footnote>
  <w:footnote w:id="2">
    <w:p w14:paraId="634B4D0D" w14:textId="77777777" w:rsidR="00A57F44" w:rsidRDefault="00A57F44" w:rsidP="00283814">
      <w:pPr>
        <w:pStyle w:val="FootnoteText"/>
        <w:ind w:left="720" w:hanging="710"/>
        <w:jc w:val="both"/>
      </w:pPr>
      <w:r>
        <w:rPr>
          <w:rStyle w:val="FootnoteReference"/>
        </w:rPr>
        <w:footnoteRef/>
      </w:r>
      <w:r>
        <w:t xml:space="preserve"> </w:t>
      </w:r>
      <w:r w:rsidR="00EB1619">
        <w:tab/>
      </w:r>
      <w:r>
        <w:t>NWSCCC has been authorized by the Member Cities of a Joint Powers Agreement adopted pursuant to Minnesota law, Chapter 238, to serve as a franchising authority on behalf of the Member Cities and authorized to grant a cable television franchise since its inception in the early 1980s.</w:t>
      </w:r>
    </w:p>
  </w:footnote>
  <w:footnote w:id="3">
    <w:p w14:paraId="5AD7E182" w14:textId="77777777" w:rsidR="00B45B88" w:rsidRDefault="00B45B88" w:rsidP="00283814">
      <w:pPr>
        <w:pStyle w:val="FootnoteText"/>
        <w:ind w:left="720" w:hanging="720"/>
        <w:jc w:val="both"/>
      </w:pPr>
      <w:r>
        <w:rPr>
          <w:rStyle w:val="FootnoteReference"/>
        </w:rPr>
        <w:footnoteRef/>
      </w:r>
      <w:r>
        <w:t xml:space="preserve"> </w:t>
      </w:r>
      <w:r w:rsidR="00EB1619">
        <w:tab/>
      </w:r>
      <w:r>
        <w:t xml:space="preserve">See Northwest Community </w:t>
      </w:r>
      <w:r w:rsidR="00A96A11">
        <w:t xml:space="preserve">Television, 2014 annual Report </w:t>
      </w:r>
      <w:r w:rsidR="00A96A11" w:rsidRPr="00A96A11">
        <w:rPr>
          <w:i/>
        </w:rPr>
        <w:t>available at</w:t>
      </w:r>
      <w:r>
        <w:t xml:space="preserve"> </w:t>
      </w:r>
      <w:hyperlink r:id="rId1" w:history="1">
        <w:r>
          <w:rPr>
            <w:rStyle w:val="Hyperlink"/>
          </w:rPr>
          <w:t>http://www.nwsccc.org/files/nwsccc/files/NWCT%202014%20Annual%20Programming%20Report6.pdf</w:t>
        </w:r>
      </w:hyperlink>
    </w:p>
  </w:footnote>
  <w:footnote w:id="4">
    <w:p w14:paraId="26F326BF" w14:textId="77777777" w:rsidR="002931C2" w:rsidRDefault="002931C2" w:rsidP="00283814">
      <w:pPr>
        <w:pStyle w:val="FootnoteText"/>
        <w:ind w:firstLine="0"/>
      </w:pPr>
      <w:r>
        <w:rPr>
          <w:rStyle w:val="FootnoteReference"/>
        </w:rPr>
        <w:footnoteRef/>
      </w:r>
      <w:r>
        <w:t xml:space="preserve"> </w:t>
      </w:r>
      <w:r w:rsidR="009C4F8D">
        <w:tab/>
      </w:r>
      <w:r w:rsidRPr="00E34BAD">
        <w:rPr>
          <w:i/>
        </w:rPr>
        <w:t>Id</w:t>
      </w:r>
      <w:r>
        <w:t>.</w:t>
      </w:r>
    </w:p>
  </w:footnote>
  <w:footnote w:id="5">
    <w:p w14:paraId="3C349F90" w14:textId="13C4BEAD" w:rsidR="00BF324D" w:rsidRPr="00BF324D" w:rsidRDefault="00BF324D">
      <w:pPr>
        <w:pStyle w:val="FootnoteText"/>
      </w:pPr>
      <w:r>
        <w:rPr>
          <w:rStyle w:val="FootnoteReference"/>
        </w:rPr>
        <w:footnoteRef/>
      </w:r>
      <w:r>
        <w:t xml:space="preserve"> </w:t>
      </w:r>
      <w:r>
        <w:tab/>
      </w:r>
      <w:r>
        <w:rPr>
          <w:i/>
        </w:rPr>
        <w:t>2012 Northwest Community Television Cable Subscribers Survey</w:t>
      </w:r>
      <w:r>
        <w:t xml:space="preserve"> conducted by Decision Resources Ltd. </w:t>
      </w:r>
    </w:p>
  </w:footnote>
  <w:footnote w:id="6">
    <w:p w14:paraId="129D730C" w14:textId="77777777" w:rsidR="00B678DE" w:rsidRDefault="00B678DE" w:rsidP="009C4F8D">
      <w:pPr>
        <w:pStyle w:val="FootnoteText"/>
        <w:ind w:left="720" w:hanging="720"/>
      </w:pPr>
      <w:r>
        <w:rPr>
          <w:rStyle w:val="FootnoteReference"/>
        </w:rPr>
        <w:footnoteRef/>
      </w:r>
      <w:r>
        <w:t xml:space="preserve"> </w:t>
      </w:r>
      <w:r w:rsidR="009C4F8D">
        <w:tab/>
      </w:r>
      <w:r>
        <w:t xml:space="preserve">For example, Tim O. Johnson owner of Johnson Production Group and who once served as West Coast Head of Programming and Production for </w:t>
      </w:r>
      <w:proofErr w:type="spellStart"/>
      <w:r>
        <w:t>Pax</w:t>
      </w:r>
      <w:proofErr w:type="spellEnd"/>
      <w:r>
        <w:t xml:space="preserve"> Television, was a volunteer f</w:t>
      </w:r>
      <w:r w:rsidR="00F47A84">
        <w:t>or NWCT</w:t>
      </w:r>
      <w:r>
        <w:t xml:space="preserve"> in the 1980s. See </w:t>
      </w:r>
      <w:hyperlink r:id="rId2" w:history="1">
        <w:r w:rsidRPr="003A7B1B">
          <w:rPr>
            <w:rStyle w:val="Hyperlink"/>
          </w:rPr>
          <w:t>http://www.imdb.com/name/nm0426330/?ref_=fn_al_nm_1</w:t>
        </w:r>
      </w:hyperlink>
      <w:r>
        <w:t>.</w:t>
      </w:r>
    </w:p>
  </w:footnote>
  <w:footnote w:id="7">
    <w:p w14:paraId="3D5355E5" w14:textId="77777777" w:rsidR="00670395" w:rsidRPr="000D0A29" w:rsidRDefault="00670395" w:rsidP="00DE24E1">
      <w:pPr>
        <w:pStyle w:val="FootnoteText"/>
        <w:ind w:left="720" w:hanging="720"/>
      </w:pPr>
      <w:r>
        <w:rPr>
          <w:rStyle w:val="FootnoteReference"/>
        </w:rPr>
        <w:footnoteRef/>
      </w:r>
      <w:r>
        <w:t xml:space="preserve"> </w:t>
      </w:r>
      <w:r w:rsidR="00DE24E1">
        <w:tab/>
      </w:r>
      <w:r w:rsidR="001515A2" w:rsidRPr="001515A2">
        <w:rPr>
          <w:i/>
        </w:rPr>
        <w:t>In the Matter of Promoting Innovation and Competition in the Provision of Multichannel Video Distribution Services</w:t>
      </w:r>
      <w:r w:rsidR="000D0A29">
        <w:t>, Comments of the Coalition of Cities For Utility Issues, MB 14-261 (March 3, 2015).</w:t>
      </w:r>
    </w:p>
  </w:footnote>
  <w:footnote w:id="8">
    <w:p w14:paraId="4113176B" w14:textId="77777777" w:rsidR="00BF254F" w:rsidRDefault="00BF254F">
      <w:pPr>
        <w:pStyle w:val="FootnoteText"/>
      </w:pPr>
      <w:r>
        <w:rPr>
          <w:rStyle w:val="FootnoteReference"/>
        </w:rPr>
        <w:footnoteRef/>
      </w:r>
      <w:r>
        <w:t xml:space="preserve"> </w:t>
      </w:r>
      <w:r w:rsidR="00DE24E1">
        <w:tab/>
      </w:r>
      <w:r w:rsidRPr="00E85204">
        <w:rPr>
          <w:i/>
        </w:rPr>
        <w:t>NPRM</w:t>
      </w:r>
      <w:r>
        <w:t>, MB Docket No. 14-261, FCC 14-201 (Dec. 19, 2014) ¶ 71.</w:t>
      </w:r>
    </w:p>
  </w:footnote>
  <w:footnote w:id="9">
    <w:p w14:paraId="14764CEC" w14:textId="77777777" w:rsidR="00452028" w:rsidRDefault="00452028">
      <w:pPr>
        <w:pStyle w:val="FootnoteText"/>
      </w:pPr>
      <w:r>
        <w:rPr>
          <w:rStyle w:val="FootnoteReference"/>
        </w:rPr>
        <w:footnoteRef/>
      </w:r>
      <w:r>
        <w:t xml:space="preserve"> </w:t>
      </w:r>
      <w:r w:rsidR="00DE24E1">
        <w:tab/>
      </w:r>
      <w:r w:rsidRPr="00283814">
        <w:rPr>
          <w:i/>
        </w:rPr>
        <w:t>Id</w:t>
      </w:r>
      <w:r>
        <w:t>. at ¶ 78</w:t>
      </w:r>
    </w:p>
  </w:footnote>
  <w:footnote w:id="10">
    <w:p w14:paraId="1971C68A" w14:textId="77777777" w:rsidR="00DB38B0" w:rsidRPr="00DB38B0" w:rsidRDefault="00DB38B0" w:rsidP="00DE24E1">
      <w:pPr>
        <w:pStyle w:val="FootnoteText"/>
        <w:ind w:left="720" w:hanging="720"/>
      </w:pPr>
      <w:r>
        <w:rPr>
          <w:rStyle w:val="FootnoteReference"/>
        </w:rPr>
        <w:footnoteRef/>
      </w:r>
      <w:r>
        <w:t xml:space="preserve"> </w:t>
      </w:r>
      <w:r w:rsidR="00DE24E1">
        <w:tab/>
      </w:r>
      <w:r>
        <w:rPr>
          <w:i/>
        </w:rPr>
        <w:t>In the Matter of Promoting Innovation and Competition in the Provision of Multichannel Video Programming Distribution Services</w:t>
      </w:r>
      <w:r>
        <w:t xml:space="preserve">, Comments of </w:t>
      </w:r>
      <w:proofErr w:type="spellStart"/>
      <w:r>
        <w:t>CenturyLink</w:t>
      </w:r>
      <w:proofErr w:type="spellEnd"/>
      <w:r>
        <w:t xml:space="preserve">, MB 14-261 (March 3, 2015). </w:t>
      </w:r>
    </w:p>
  </w:footnote>
  <w:footnote w:id="11">
    <w:p w14:paraId="3CDA5694" w14:textId="77777777" w:rsidR="00AE00F7" w:rsidRPr="009D2D64" w:rsidRDefault="00AE00F7" w:rsidP="00DE24E1">
      <w:pPr>
        <w:pStyle w:val="FootnoteText"/>
        <w:ind w:left="720" w:hanging="720"/>
      </w:pPr>
      <w:r>
        <w:rPr>
          <w:rStyle w:val="FootnoteReference"/>
        </w:rPr>
        <w:footnoteRef/>
      </w:r>
      <w:r>
        <w:t xml:space="preserve"> </w:t>
      </w:r>
      <w:r w:rsidR="00DE24E1">
        <w:tab/>
      </w:r>
      <w:r>
        <w:rPr>
          <w:i/>
        </w:rPr>
        <w:t xml:space="preserve">NPRM </w:t>
      </w:r>
      <w:r w:rsidRPr="009D2D64">
        <w:t>¶</w:t>
      </w:r>
      <w:r>
        <w:t xml:space="preserve"> 72 &amp; n.203 (citing </w:t>
      </w:r>
      <w:r>
        <w:rPr>
          <w:i/>
        </w:rPr>
        <w:t>Cable Television Technical and Operational Requirements</w:t>
      </w:r>
      <w:r>
        <w:t xml:space="preserve">, 27 FCC </w:t>
      </w:r>
      <w:proofErr w:type="spellStart"/>
      <w:r>
        <w:t>Rcd</w:t>
      </w:r>
      <w:proofErr w:type="spellEnd"/>
      <w:r>
        <w:t xml:space="preserve"> 9678, 9681,</w:t>
      </w:r>
      <w:r w:rsidR="009D2D64">
        <w:t xml:space="preserve"> </w:t>
      </w:r>
      <w:r>
        <w:t xml:space="preserve"> </w:t>
      </w:r>
      <w:r w:rsidR="009D2D64" w:rsidRPr="009D2D64">
        <w:t>¶</w:t>
      </w:r>
      <w:r w:rsidR="009D2D64">
        <w:t xml:space="preserve"> 5 (2012), and </w:t>
      </w:r>
      <w:r w:rsidR="009D2D64">
        <w:rPr>
          <w:i/>
        </w:rPr>
        <w:t>Office of Consumer Council v. Southern New England Telephone Co.</w:t>
      </w:r>
      <w:r w:rsidR="009D2D64">
        <w:t xml:space="preserve">, 515 F. Supp.2d 269, 276 (D. Conn. 2007), </w:t>
      </w:r>
      <w:r w:rsidR="009D2D64">
        <w:rPr>
          <w:i/>
        </w:rPr>
        <w:t xml:space="preserve">vacated on other grounds, </w:t>
      </w:r>
      <w:r w:rsidR="009D2D64">
        <w:t xml:space="preserve">368 Fed. </w:t>
      </w:r>
      <w:proofErr w:type="spellStart"/>
      <w:r w:rsidR="009D2D64">
        <w:t>Appx</w:t>
      </w:r>
      <w:proofErr w:type="spellEnd"/>
      <w:r w:rsidR="009D2D64">
        <w:t>. 244 (2d Cit. 2010)).</w:t>
      </w:r>
    </w:p>
  </w:footnote>
  <w:footnote w:id="12">
    <w:p w14:paraId="1F383952" w14:textId="6D3AAD0E" w:rsidR="007012BE" w:rsidRDefault="007012BE" w:rsidP="00DE24E1">
      <w:pPr>
        <w:pStyle w:val="FootnoteText"/>
        <w:tabs>
          <w:tab w:val="left" w:pos="540"/>
        </w:tabs>
      </w:pPr>
      <w:r>
        <w:rPr>
          <w:rStyle w:val="FootnoteReference"/>
        </w:rPr>
        <w:footnoteRef/>
      </w:r>
      <w:r>
        <w:t xml:space="preserve"> </w:t>
      </w:r>
      <w:r w:rsidR="00DE24E1">
        <w:tab/>
      </w:r>
      <w:r w:rsidR="00DE24E1">
        <w:tab/>
      </w:r>
      <w:r w:rsidRPr="00283814">
        <w:rPr>
          <w:i/>
        </w:rPr>
        <w:t>See Supra</w:t>
      </w:r>
      <w:r w:rsidR="00471080">
        <w:t xml:space="preserve"> 10</w:t>
      </w:r>
      <w:r>
        <w:t xml:space="preserve">. </w:t>
      </w:r>
    </w:p>
  </w:footnote>
  <w:footnote w:id="13">
    <w:p w14:paraId="4AFBB231" w14:textId="77777777" w:rsidR="001D53DC" w:rsidRDefault="001D53DC" w:rsidP="00DE24E1">
      <w:pPr>
        <w:pStyle w:val="FootnoteText"/>
        <w:ind w:left="720" w:hanging="720"/>
      </w:pPr>
      <w:r>
        <w:rPr>
          <w:rStyle w:val="FootnoteReference"/>
        </w:rPr>
        <w:footnoteRef/>
      </w:r>
      <w:r>
        <w:t xml:space="preserve"> </w:t>
      </w:r>
      <w:r w:rsidR="00DE24E1">
        <w:tab/>
      </w:r>
      <w:r w:rsidR="00203DB0">
        <w:t xml:space="preserve">47 U.S.C. § 522(7). </w:t>
      </w:r>
    </w:p>
  </w:footnote>
  <w:footnote w:id="14">
    <w:p w14:paraId="34EFCC81" w14:textId="77777777" w:rsidR="001D53DC" w:rsidRPr="001D53DC" w:rsidRDefault="001D53DC">
      <w:pPr>
        <w:pStyle w:val="FootnoteText"/>
      </w:pPr>
      <w:r>
        <w:rPr>
          <w:rStyle w:val="FootnoteReference"/>
        </w:rPr>
        <w:footnoteRef/>
      </w:r>
      <w:r>
        <w:t xml:space="preserve"> </w:t>
      </w:r>
      <w:r w:rsidR="00685240">
        <w:tab/>
      </w:r>
      <w:r>
        <w:rPr>
          <w:i/>
        </w:rPr>
        <w:t xml:space="preserve">NPRM </w:t>
      </w:r>
      <w:r>
        <w:t xml:space="preserve">at ¶ 71, </w:t>
      </w:r>
    </w:p>
  </w:footnote>
  <w:footnote w:id="15">
    <w:p w14:paraId="6E854E5F" w14:textId="77777777" w:rsidR="003C1AE1" w:rsidRPr="003C1AE1" w:rsidRDefault="003C1AE1">
      <w:pPr>
        <w:pStyle w:val="FootnoteText"/>
        <w:rPr>
          <w:i/>
        </w:rPr>
      </w:pPr>
      <w:r>
        <w:rPr>
          <w:rStyle w:val="FootnoteReference"/>
        </w:rPr>
        <w:footnoteRef/>
      </w:r>
      <w:r>
        <w:t xml:space="preserve"> </w:t>
      </w:r>
      <w:r w:rsidR="00685240">
        <w:tab/>
      </w:r>
      <w:r>
        <w:rPr>
          <w:i/>
        </w:rPr>
        <w:t xml:space="preserve">NPRM at </w:t>
      </w:r>
      <w:r>
        <w:t xml:space="preserve">¶ 75. </w:t>
      </w:r>
    </w:p>
  </w:footnote>
  <w:footnote w:id="16">
    <w:p w14:paraId="0B1C86BB" w14:textId="77777777" w:rsidR="00A96A11" w:rsidRDefault="00A96A11" w:rsidP="00283814">
      <w:pPr>
        <w:pStyle w:val="FootnoteText"/>
        <w:ind w:left="0" w:firstLine="10"/>
      </w:pPr>
      <w:r>
        <w:rPr>
          <w:rStyle w:val="FootnoteReference"/>
        </w:rPr>
        <w:footnoteRef/>
      </w:r>
      <w:r w:rsidR="00685240">
        <w:t xml:space="preserve"> </w:t>
      </w:r>
      <w:r w:rsidR="00685240">
        <w:tab/>
      </w:r>
      <w:r w:rsidRPr="00283814">
        <w:rPr>
          <w:i/>
        </w:rPr>
        <w:t>NPR</w:t>
      </w:r>
      <w:r w:rsidR="000B5A3A" w:rsidRPr="00283814">
        <w:rPr>
          <w:i/>
        </w:rPr>
        <w:t>M</w:t>
      </w:r>
      <w:r w:rsidR="000B5A3A">
        <w:t xml:space="preserve"> at ¶76, n. 230 (listing 47 U.S</w:t>
      </w:r>
      <w:r>
        <w:t xml:space="preserve">.C. ¶542) and n. 222.  </w:t>
      </w:r>
    </w:p>
  </w:footnote>
  <w:footnote w:id="17">
    <w:p w14:paraId="60695CEB" w14:textId="77777777" w:rsidR="00197D3E" w:rsidRPr="00197D3E" w:rsidRDefault="00197D3E">
      <w:pPr>
        <w:pStyle w:val="FootnoteText"/>
      </w:pPr>
      <w:r>
        <w:rPr>
          <w:rStyle w:val="FootnoteReference"/>
        </w:rPr>
        <w:footnoteRef/>
      </w:r>
      <w:r>
        <w:t xml:space="preserve"> </w:t>
      </w:r>
      <w:r w:rsidR="00685240">
        <w:tab/>
      </w:r>
      <w:r>
        <w:rPr>
          <w:i/>
        </w:rPr>
        <w:t xml:space="preserve">NPRM </w:t>
      </w:r>
      <w:r>
        <w:t>at ¶78</w:t>
      </w:r>
    </w:p>
  </w:footnote>
  <w:footnote w:id="18">
    <w:p w14:paraId="451E8AEC" w14:textId="77777777" w:rsidR="00B05AA1" w:rsidRPr="00B05AA1" w:rsidRDefault="00B05AA1" w:rsidP="00685240">
      <w:pPr>
        <w:pStyle w:val="FootnoteText"/>
        <w:ind w:left="720" w:hanging="720"/>
      </w:pPr>
      <w:r>
        <w:rPr>
          <w:rStyle w:val="FootnoteReference"/>
        </w:rPr>
        <w:footnoteRef/>
      </w:r>
      <w:r>
        <w:t xml:space="preserve"> </w:t>
      </w:r>
      <w:r w:rsidR="00685240">
        <w:tab/>
      </w:r>
      <w:r>
        <w:rPr>
          <w:i/>
        </w:rPr>
        <w:t xml:space="preserve">NPRM </w:t>
      </w:r>
      <w:r>
        <w:t>¶ 16 &amp; n.35. Even if OTT video services were not “video programming,” they would clearly be “other programming service,” because they would be “information that a cable operator makes available to all subscribers generally,” 47 U.S.C. § 522(14), which would also make them a “cable service,” 47 U.S.C. § 522(6</w:t>
      </w:r>
      <w:proofErr w:type="gramStart"/>
      <w:r>
        <w:t>)(</w:t>
      </w:r>
      <w:proofErr w:type="gramEnd"/>
      <w:r>
        <w:t>A)(ii).</w:t>
      </w:r>
    </w:p>
  </w:footnote>
  <w:footnote w:id="19">
    <w:p w14:paraId="3FC45A9F" w14:textId="77777777" w:rsidR="00B05AA1" w:rsidRPr="0020710E" w:rsidRDefault="00B05AA1" w:rsidP="00685240">
      <w:pPr>
        <w:pStyle w:val="FootnoteText"/>
        <w:ind w:left="720" w:hanging="720"/>
      </w:pPr>
      <w:r>
        <w:rPr>
          <w:rStyle w:val="FootnoteReference"/>
        </w:rPr>
        <w:footnoteRef/>
      </w:r>
      <w:r>
        <w:t xml:space="preserve"> </w:t>
      </w:r>
      <w:r w:rsidR="00685240">
        <w:tab/>
      </w:r>
      <w:r w:rsidR="0020710E">
        <w:rPr>
          <w:i/>
        </w:rPr>
        <w:t xml:space="preserve">Video </w:t>
      </w:r>
      <w:proofErr w:type="spellStart"/>
      <w:r w:rsidR="0020710E">
        <w:rPr>
          <w:i/>
        </w:rPr>
        <w:t>Dialtone</w:t>
      </w:r>
      <w:proofErr w:type="spellEnd"/>
      <w:r w:rsidR="0020710E">
        <w:rPr>
          <w:i/>
        </w:rPr>
        <w:t xml:space="preserve"> Reconsideration Order, </w:t>
      </w:r>
      <w:r w:rsidR="0020710E">
        <w:t xml:space="preserve">7 FCC </w:t>
      </w:r>
      <w:proofErr w:type="spellStart"/>
      <w:r w:rsidR="0020710E">
        <w:t>Rcd</w:t>
      </w:r>
      <w:proofErr w:type="spellEnd"/>
      <w:r w:rsidR="0020710E">
        <w:t xml:space="preserve"> 5069, 5071-72 (1992), </w:t>
      </w:r>
      <w:r w:rsidR="0020710E">
        <w:rPr>
          <w:i/>
        </w:rPr>
        <w:t>review denied sub nom. NCTA v. FCC</w:t>
      </w:r>
      <w:r w:rsidR="0020710E">
        <w:t xml:space="preserve">, 33 F.3d 66 (D.C. Cir. 1994); </w:t>
      </w:r>
      <w:r w:rsidR="0020710E">
        <w:rPr>
          <w:i/>
        </w:rPr>
        <w:t>Internet over Cable Declaratory Ruling</w:t>
      </w:r>
      <w:r w:rsidR="0020710E">
        <w:t xml:space="preserve">, 17 FCC </w:t>
      </w:r>
      <w:proofErr w:type="spellStart"/>
      <w:r w:rsidR="0020710E">
        <w:t>Rcd</w:t>
      </w:r>
      <w:proofErr w:type="spellEnd"/>
      <w:r w:rsidR="0020710E">
        <w:t xml:space="preserve"> 4798, 4834 (2002), </w:t>
      </w:r>
      <w:r w:rsidR="0020710E">
        <w:rPr>
          <w:i/>
        </w:rPr>
        <w:t xml:space="preserve">review granted sub nom. Brand X Internet </w:t>
      </w:r>
      <w:proofErr w:type="spellStart"/>
      <w:r w:rsidR="0020710E">
        <w:rPr>
          <w:i/>
        </w:rPr>
        <w:t>Servs</w:t>
      </w:r>
      <w:proofErr w:type="spellEnd"/>
      <w:r w:rsidR="0020710E">
        <w:rPr>
          <w:i/>
        </w:rPr>
        <w:t>. V. FCC</w:t>
      </w:r>
      <w:r w:rsidR="0020710E">
        <w:t>, 345 F.3d 1121 (9</w:t>
      </w:r>
      <w:r w:rsidR="0020710E" w:rsidRPr="0020710E">
        <w:rPr>
          <w:vertAlign w:val="superscript"/>
        </w:rPr>
        <w:t>th</w:t>
      </w:r>
      <w:r w:rsidR="0020710E">
        <w:t xml:space="preserve"> Cir. 2003), </w:t>
      </w:r>
      <w:proofErr w:type="spellStart"/>
      <w:r w:rsidR="0020710E">
        <w:rPr>
          <w:i/>
        </w:rPr>
        <w:t>rev’d</w:t>
      </w:r>
      <w:proofErr w:type="spellEnd"/>
      <w:r w:rsidR="0020710E">
        <w:rPr>
          <w:i/>
        </w:rPr>
        <w:t xml:space="preserve"> sub nom. NCTA v. Brand X Internet </w:t>
      </w:r>
      <w:proofErr w:type="spellStart"/>
      <w:r w:rsidR="0020710E">
        <w:rPr>
          <w:i/>
        </w:rPr>
        <w:t>Servs</w:t>
      </w:r>
      <w:proofErr w:type="spellEnd"/>
      <w:r w:rsidR="0020710E">
        <w:rPr>
          <w:i/>
        </w:rPr>
        <w:t>.</w:t>
      </w:r>
      <w:r w:rsidR="0020710E">
        <w:t>, 545 U.S. 967 (2005).</w:t>
      </w:r>
    </w:p>
  </w:footnote>
  <w:footnote w:id="20">
    <w:p w14:paraId="6AD56C43" w14:textId="77777777" w:rsidR="0020710E" w:rsidRPr="0020710E" w:rsidRDefault="0020710E">
      <w:pPr>
        <w:pStyle w:val="FootnoteText"/>
      </w:pPr>
      <w:r>
        <w:rPr>
          <w:rStyle w:val="FootnoteReference"/>
        </w:rPr>
        <w:footnoteRef/>
      </w:r>
      <w:r>
        <w:t xml:space="preserve"> </w:t>
      </w:r>
      <w:r w:rsidR="00685240">
        <w:tab/>
      </w:r>
      <w:r>
        <w:rPr>
          <w:i/>
        </w:rPr>
        <w:t>NCTA v. FCC</w:t>
      </w:r>
      <w:r>
        <w:t xml:space="preserve">, 33 F.3d at 72. </w:t>
      </w:r>
    </w:p>
  </w:footnote>
  <w:footnote w:id="21">
    <w:p w14:paraId="60702354" w14:textId="0DBC32F5" w:rsidR="00106AA4" w:rsidRPr="00106AA4" w:rsidRDefault="00106AA4">
      <w:pPr>
        <w:pStyle w:val="FootnoteText"/>
      </w:pPr>
      <w:r>
        <w:rPr>
          <w:rStyle w:val="FootnoteReference"/>
        </w:rPr>
        <w:footnoteRef/>
      </w:r>
      <w:r>
        <w:t xml:space="preserve"> </w:t>
      </w:r>
      <w:r>
        <w:tab/>
      </w:r>
      <w:r w:rsidR="00A107EF">
        <w:rPr>
          <w:i/>
        </w:rPr>
        <w:t xml:space="preserve">NPRM </w:t>
      </w:r>
      <w:r>
        <w:t>¶ 78.</w:t>
      </w:r>
    </w:p>
  </w:footnote>
  <w:footnote w:id="22">
    <w:p w14:paraId="377D4E3C" w14:textId="0986FEA8" w:rsidR="00A107EF" w:rsidRPr="00A107EF" w:rsidRDefault="00A107EF">
      <w:pPr>
        <w:pStyle w:val="FootnoteText"/>
      </w:pPr>
      <w:r>
        <w:rPr>
          <w:rStyle w:val="FootnoteReference"/>
        </w:rPr>
        <w:footnoteRef/>
      </w:r>
      <w:r>
        <w:t xml:space="preserve"> </w:t>
      </w:r>
      <w:r>
        <w:tab/>
      </w:r>
      <w:r w:rsidR="009753F1">
        <w:rPr>
          <w:i/>
        </w:rPr>
        <w:t>Id.</w:t>
      </w:r>
      <w:r>
        <w:rPr>
          <w:i/>
        </w:rPr>
        <w:t xml:space="preserve"> </w:t>
      </w:r>
      <w:r>
        <w:t>at ¶ 74.</w:t>
      </w:r>
    </w:p>
  </w:footnote>
  <w:footnote w:id="23">
    <w:p w14:paraId="6D6CE047" w14:textId="6FFE8E74" w:rsidR="009753F1" w:rsidRPr="009753F1" w:rsidRDefault="009753F1">
      <w:pPr>
        <w:pStyle w:val="FootnoteText"/>
      </w:pPr>
      <w:r>
        <w:rPr>
          <w:rStyle w:val="FootnoteReference"/>
        </w:rPr>
        <w:footnoteRef/>
      </w:r>
      <w:r>
        <w:t xml:space="preserve"> </w:t>
      </w:r>
      <w:r>
        <w:tab/>
      </w:r>
      <w:r>
        <w:rPr>
          <w:i/>
        </w:rPr>
        <w:t xml:space="preserve">Id. </w:t>
      </w:r>
      <w:r>
        <w:t>at ¶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344C" w14:textId="77777777" w:rsidR="002E6AA5" w:rsidRDefault="002E6AA5">
    <w:pPr>
      <w:pBdr>
        <w:bottom w:val="single" w:sz="4" w:space="3" w:color="auto"/>
      </w:pBdr>
      <w:rPr>
        <w:rFonts w:ascii="Arial" w:hAnsi="Arial" w:cs="Arial"/>
        <w:b/>
      </w:rPr>
    </w:pPr>
    <w:r>
      <w:rPr>
        <w:rFonts w:ascii="Arial" w:hAnsi="Arial" w:cs="Arial"/>
        <w:b/>
      </w:rPr>
      <w:t>The Baller Herbst Law Group, P.C.</w:t>
    </w:r>
  </w:p>
  <w:p w14:paraId="0ABA4664" w14:textId="77777777" w:rsidR="002E6AA5" w:rsidRDefault="002E6AA5">
    <w:pPr>
      <w:pStyle w:val="Header"/>
      <w:rPr>
        <w:rFonts w:ascii="Arial" w:hAnsi="Arial" w:cs="Arial"/>
      </w:rPr>
    </w:pPr>
  </w:p>
  <w:p w14:paraId="272B2AB2" w14:textId="77777777" w:rsidR="002E6AA5" w:rsidRDefault="002E6AA5">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34F5" w14:textId="77777777" w:rsidR="002E6AA5" w:rsidRPr="00C01AB0" w:rsidRDefault="002E6AA5" w:rsidP="00C01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155"/>
    <w:multiLevelType w:val="hybridMultilevel"/>
    <w:tmpl w:val="D21CF31C"/>
    <w:lvl w:ilvl="0" w:tplc="18664E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966DC"/>
    <w:multiLevelType w:val="hybridMultilevel"/>
    <w:tmpl w:val="C59ECC9A"/>
    <w:lvl w:ilvl="0" w:tplc="8736B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1F566C"/>
    <w:multiLevelType w:val="hybridMultilevel"/>
    <w:tmpl w:val="712E6A6E"/>
    <w:lvl w:ilvl="0" w:tplc="7D6AA9EE">
      <w:start w:val="1"/>
      <w:numFmt w:val="upperRoman"/>
      <w:pStyle w:val="Heading1"/>
      <w:lvlText w:val="%1."/>
      <w:lvlJc w:val="left"/>
      <w:pPr>
        <w:ind w:left="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1" w:tplc="BF36F4F2">
      <w:start w:val="1"/>
      <w:numFmt w:val="lowerLetter"/>
      <w:lvlText w:val="%2"/>
      <w:lvlJc w:val="left"/>
      <w:pPr>
        <w:ind w:left="108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2" w:tplc="99224B1A">
      <w:start w:val="1"/>
      <w:numFmt w:val="lowerRoman"/>
      <w:lvlText w:val="%3"/>
      <w:lvlJc w:val="left"/>
      <w:pPr>
        <w:ind w:left="180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3" w:tplc="ACBAF05A">
      <w:start w:val="1"/>
      <w:numFmt w:val="decimal"/>
      <w:lvlText w:val="%4"/>
      <w:lvlJc w:val="left"/>
      <w:pPr>
        <w:ind w:left="252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4" w:tplc="5E8EC966">
      <w:start w:val="1"/>
      <w:numFmt w:val="lowerLetter"/>
      <w:lvlText w:val="%5"/>
      <w:lvlJc w:val="left"/>
      <w:pPr>
        <w:ind w:left="324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5" w:tplc="C910FBB0">
      <w:start w:val="1"/>
      <w:numFmt w:val="lowerRoman"/>
      <w:lvlText w:val="%6"/>
      <w:lvlJc w:val="left"/>
      <w:pPr>
        <w:ind w:left="396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6" w:tplc="31C01B88">
      <w:start w:val="1"/>
      <w:numFmt w:val="decimal"/>
      <w:lvlText w:val="%7"/>
      <w:lvlJc w:val="left"/>
      <w:pPr>
        <w:ind w:left="468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7" w:tplc="856E3970">
      <w:start w:val="1"/>
      <w:numFmt w:val="lowerLetter"/>
      <w:lvlText w:val="%8"/>
      <w:lvlJc w:val="left"/>
      <w:pPr>
        <w:ind w:left="540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lvl w:ilvl="8" w:tplc="DC1249F4">
      <w:start w:val="1"/>
      <w:numFmt w:val="lowerRoman"/>
      <w:lvlText w:val="%9"/>
      <w:lvlJc w:val="left"/>
      <w:pPr>
        <w:ind w:left="6120" w:firstLine="0"/>
      </w:pPr>
      <w:rPr>
        <w:rFonts w:ascii="Times New Roman" w:eastAsia="Times New Roman" w:hAnsi="Times New Roman" w:cs="Times New Roman"/>
        <w:b/>
        <w:bCs/>
        <w:i w:val="0"/>
        <w:strike w:val="0"/>
        <w:dstrike w:val="0"/>
        <w:color w:val="221F1F"/>
        <w:sz w:val="24"/>
        <w:szCs w:val="24"/>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4F"/>
    <w:rsid w:val="00043E7A"/>
    <w:rsid w:val="000A261F"/>
    <w:rsid w:val="000A6216"/>
    <w:rsid w:val="000B1E77"/>
    <w:rsid w:val="000B5A3A"/>
    <w:rsid w:val="000D0A29"/>
    <w:rsid w:val="000E218D"/>
    <w:rsid w:val="00105E9F"/>
    <w:rsid w:val="00106AA4"/>
    <w:rsid w:val="00126C30"/>
    <w:rsid w:val="001515A2"/>
    <w:rsid w:val="001663EC"/>
    <w:rsid w:val="00197D3E"/>
    <w:rsid w:val="001D53DC"/>
    <w:rsid w:val="001D7B0C"/>
    <w:rsid w:val="00203DB0"/>
    <w:rsid w:val="0020710E"/>
    <w:rsid w:val="002476FE"/>
    <w:rsid w:val="00271FC4"/>
    <w:rsid w:val="00283814"/>
    <w:rsid w:val="002931C2"/>
    <w:rsid w:val="002E6AA5"/>
    <w:rsid w:val="002F629C"/>
    <w:rsid w:val="002F726B"/>
    <w:rsid w:val="00317366"/>
    <w:rsid w:val="0033592F"/>
    <w:rsid w:val="003505F9"/>
    <w:rsid w:val="003766D6"/>
    <w:rsid w:val="00381E5D"/>
    <w:rsid w:val="003C0477"/>
    <w:rsid w:val="003C1AE1"/>
    <w:rsid w:val="003E6C48"/>
    <w:rsid w:val="003F0D4C"/>
    <w:rsid w:val="00421D35"/>
    <w:rsid w:val="004337D1"/>
    <w:rsid w:val="00452028"/>
    <w:rsid w:val="00470F12"/>
    <w:rsid w:val="00471080"/>
    <w:rsid w:val="00475576"/>
    <w:rsid w:val="0049798D"/>
    <w:rsid w:val="004C2242"/>
    <w:rsid w:val="004C4469"/>
    <w:rsid w:val="004D0317"/>
    <w:rsid w:val="004D0EF1"/>
    <w:rsid w:val="004D1AED"/>
    <w:rsid w:val="00516E7B"/>
    <w:rsid w:val="005412E7"/>
    <w:rsid w:val="00552AF0"/>
    <w:rsid w:val="00554971"/>
    <w:rsid w:val="005575A2"/>
    <w:rsid w:val="0056078B"/>
    <w:rsid w:val="005732CF"/>
    <w:rsid w:val="00592D80"/>
    <w:rsid w:val="005B2550"/>
    <w:rsid w:val="005B6671"/>
    <w:rsid w:val="005C0CA7"/>
    <w:rsid w:val="005D259C"/>
    <w:rsid w:val="00602FAE"/>
    <w:rsid w:val="0062199F"/>
    <w:rsid w:val="0067036C"/>
    <w:rsid w:val="00670395"/>
    <w:rsid w:val="00680E81"/>
    <w:rsid w:val="00685240"/>
    <w:rsid w:val="006F0D6C"/>
    <w:rsid w:val="006F6307"/>
    <w:rsid w:val="007012BE"/>
    <w:rsid w:val="00745265"/>
    <w:rsid w:val="00760F37"/>
    <w:rsid w:val="00765D46"/>
    <w:rsid w:val="00785211"/>
    <w:rsid w:val="00793BE0"/>
    <w:rsid w:val="00796BF8"/>
    <w:rsid w:val="007975F6"/>
    <w:rsid w:val="007C4919"/>
    <w:rsid w:val="00810A1B"/>
    <w:rsid w:val="00833979"/>
    <w:rsid w:val="00847F19"/>
    <w:rsid w:val="00860EDF"/>
    <w:rsid w:val="0086161C"/>
    <w:rsid w:val="00865AE8"/>
    <w:rsid w:val="008777AC"/>
    <w:rsid w:val="00884097"/>
    <w:rsid w:val="008E4F06"/>
    <w:rsid w:val="008F5FA7"/>
    <w:rsid w:val="0090053F"/>
    <w:rsid w:val="00916D67"/>
    <w:rsid w:val="00950835"/>
    <w:rsid w:val="00951655"/>
    <w:rsid w:val="009608F4"/>
    <w:rsid w:val="009724D7"/>
    <w:rsid w:val="009753F1"/>
    <w:rsid w:val="00981B4F"/>
    <w:rsid w:val="009B3279"/>
    <w:rsid w:val="009B39DF"/>
    <w:rsid w:val="009B42DD"/>
    <w:rsid w:val="009C4F8D"/>
    <w:rsid w:val="009D2D64"/>
    <w:rsid w:val="009E4775"/>
    <w:rsid w:val="009E4888"/>
    <w:rsid w:val="009F21A8"/>
    <w:rsid w:val="00A107EF"/>
    <w:rsid w:val="00A14AB6"/>
    <w:rsid w:val="00A17027"/>
    <w:rsid w:val="00A57F44"/>
    <w:rsid w:val="00A70232"/>
    <w:rsid w:val="00A83882"/>
    <w:rsid w:val="00A96A11"/>
    <w:rsid w:val="00AA531E"/>
    <w:rsid w:val="00AB0157"/>
    <w:rsid w:val="00AB091B"/>
    <w:rsid w:val="00AB0EB4"/>
    <w:rsid w:val="00AE00F7"/>
    <w:rsid w:val="00AE012C"/>
    <w:rsid w:val="00B02802"/>
    <w:rsid w:val="00B05AA1"/>
    <w:rsid w:val="00B17101"/>
    <w:rsid w:val="00B36A50"/>
    <w:rsid w:val="00B42204"/>
    <w:rsid w:val="00B45B88"/>
    <w:rsid w:val="00B678DE"/>
    <w:rsid w:val="00B7663A"/>
    <w:rsid w:val="00B77A3A"/>
    <w:rsid w:val="00B86EA5"/>
    <w:rsid w:val="00BB23F9"/>
    <w:rsid w:val="00BC604F"/>
    <w:rsid w:val="00BF01A1"/>
    <w:rsid w:val="00BF254F"/>
    <w:rsid w:val="00BF324D"/>
    <w:rsid w:val="00C0186F"/>
    <w:rsid w:val="00C01AB0"/>
    <w:rsid w:val="00C453D3"/>
    <w:rsid w:val="00C73298"/>
    <w:rsid w:val="00CA03D6"/>
    <w:rsid w:val="00CB1661"/>
    <w:rsid w:val="00CB72C0"/>
    <w:rsid w:val="00CC5941"/>
    <w:rsid w:val="00D12542"/>
    <w:rsid w:val="00D44E0F"/>
    <w:rsid w:val="00D52229"/>
    <w:rsid w:val="00D936EF"/>
    <w:rsid w:val="00DA0A07"/>
    <w:rsid w:val="00DB38B0"/>
    <w:rsid w:val="00DB58FA"/>
    <w:rsid w:val="00DC3C3C"/>
    <w:rsid w:val="00DD60D9"/>
    <w:rsid w:val="00DE24E1"/>
    <w:rsid w:val="00E01A4A"/>
    <w:rsid w:val="00E119E2"/>
    <w:rsid w:val="00E32067"/>
    <w:rsid w:val="00E34BAD"/>
    <w:rsid w:val="00E403A5"/>
    <w:rsid w:val="00E600D4"/>
    <w:rsid w:val="00E74AA2"/>
    <w:rsid w:val="00E85204"/>
    <w:rsid w:val="00E92284"/>
    <w:rsid w:val="00E94455"/>
    <w:rsid w:val="00EB1619"/>
    <w:rsid w:val="00EC3D71"/>
    <w:rsid w:val="00ED6045"/>
    <w:rsid w:val="00EF1458"/>
    <w:rsid w:val="00F0376B"/>
    <w:rsid w:val="00F05724"/>
    <w:rsid w:val="00F2577C"/>
    <w:rsid w:val="00F47A84"/>
    <w:rsid w:val="00F614F4"/>
    <w:rsid w:val="00F753DE"/>
    <w:rsid w:val="00F853CD"/>
    <w:rsid w:val="00FA0579"/>
    <w:rsid w:val="00FA79FB"/>
    <w:rsid w:val="00FB31EF"/>
    <w:rsid w:val="00FD3FBE"/>
    <w:rsid w:val="00FD6205"/>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753C"/>
  <w15:chartTrackingRefBased/>
  <w15:docId w15:val="{9CE41484-1CCA-4181-84F6-BDAE2DB5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B4F"/>
    <w:pPr>
      <w:spacing w:after="3" w:line="247" w:lineRule="auto"/>
      <w:ind w:left="10" w:hanging="10"/>
    </w:pPr>
    <w:rPr>
      <w:rFonts w:ascii="Times New Roman" w:eastAsia="Times New Roman" w:hAnsi="Times New Roman" w:cs="Times New Roman"/>
      <w:color w:val="221F1F"/>
      <w:sz w:val="24"/>
    </w:rPr>
  </w:style>
  <w:style w:type="paragraph" w:styleId="Heading1">
    <w:name w:val="heading 1"/>
    <w:next w:val="Normal"/>
    <w:link w:val="Heading1Char"/>
    <w:uiPriority w:val="9"/>
    <w:qFormat/>
    <w:rsid w:val="00981B4F"/>
    <w:pPr>
      <w:keepNext/>
      <w:keepLines/>
      <w:numPr>
        <w:numId w:val="1"/>
      </w:numPr>
      <w:spacing w:after="9" w:line="249" w:lineRule="auto"/>
      <w:ind w:left="43" w:hanging="10"/>
      <w:outlineLvl w:val="0"/>
    </w:pPr>
    <w:rPr>
      <w:rFonts w:ascii="Times New Roman" w:eastAsia="Times New Roman" w:hAnsi="Times New Roman" w:cs="Times New Roman"/>
      <w:b/>
      <w:color w:val="221F1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B4F"/>
    <w:rPr>
      <w:rFonts w:ascii="Times New Roman" w:eastAsia="Times New Roman" w:hAnsi="Times New Roman" w:cs="Times New Roman"/>
      <w:b/>
      <w:color w:val="221F1F"/>
      <w:sz w:val="24"/>
    </w:rPr>
  </w:style>
  <w:style w:type="paragraph" w:styleId="FootnoteText">
    <w:name w:val="footnote text"/>
    <w:basedOn w:val="Normal"/>
    <w:link w:val="FootnoteTextChar"/>
    <w:uiPriority w:val="99"/>
    <w:semiHidden/>
    <w:unhideWhenUsed/>
    <w:rsid w:val="00552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AF0"/>
    <w:rPr>
      <w:rFonts w:ascii="Times New Roman" w:eastAsia="Times New Roman" w:hAnsi="Times New Roman" w:cs="Times New Roman"/>
      <w:color w:val="221F1F"/>
      <w:sz w:val="20"/>
      <w:szCs w:val="20"/>
    </w:rPr>
  </w:style>
  <w:style w:type="character" w:styleId="FootnoteReference">
    <w:name w:val="footnote reference"/>
    <w:basedOn w:val="DefaultParagraphFont"/>
    <w:uiPriority w:val="99"/>
    <w:semiHidden/>
    <w:unhideWhenUsed/>
    <w:rsid w:val="00552AF0"/>
    <w:rPr>
      <w:vertAlign w:val="superscript"/>
    </w:rPr>
  </w:style>
  <w:style w:type="character" w:styleId="Hyperlink">
    <w:name w:val="Hyperlink"/>
    <w:basedOn w:val="DefaultParagraphFont"/>
    <w:uiPriority w:val="99"/>
    <w:unhideWhenUsed/>
    <w:rsid w:val="005412E7"/>
    <w:rPr>
      <w:color w:val="0000FF"/>
      <w:u w:val="single"/>
    </w:rPr>
  </w:style>
  <w:style w:type="paragraph" w:styleId="ListParagraph">
    <w:name w:val="List Paragraph"/>
    <w:basedOn w:val="Normal"/>
    <w:uiPriority w:val="34"/>
    <w:qFormat/>
    <w:rsid w:val="004D1AED"/>
    <w:pPr>
      <w:ind w:left="720"/>
      <w:contextualSpacing/>
    </w:pPr>
  </w:style>
  <w:style w:type="paragraph" w:styleId="Header">
    <w:name w:val="header"/>
    <w:basedOn w:val="Normal"/>
    <w:link w:val="HeaderChar"/>
    <w:unhideWhenUsed/>
    <w:rsid w:val="002F726B"/>
    <w:pPr>
      <w:tabs>
        <w:tab w:val="center" w:pos="4680"/>
        <w:tab w:val="right" w:pos="9360"/>
      </w:tabs>
      <w:spacing w:after="0" w:line="240" w:lineRule="auto"/>
    </w:pPr>
  </w:style>
  <w:style w:type="character" w:customStyle="1" w:styleId="HeaderChar">
    <w:name w:val="Header Char"/>
    <w:basedOn w:val="DefaultParagraphFont"/>
    <w:link w:val="Header"/>
    <w:rsid w:val="002F726B"/>
    <w:rPr>
      <w:rFonts w:ascii="Times New Roman" w:eastAsia="Times New Roman" w:hAnsi="Times New Roman" w:cs="Times New Roman"/>
      <w:color w:val="221F1F"/>
      <w:sz w:val="24"/>
    </w:rPr>
  </w:style>
  <w:style w:type="paragraph" w:styleId="Footer">
    <w:name w:val="footer"/>
    <w:basedOn w:val="Normal"/>
    <w:link w:val="FooterChar"/>
    <w:uiPriority w:val="99"/>
    <w:unhideWhenUsed/>
    <w:rsid w:val="002F7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6B"/>
    <w:rPr>
      <w:rFonts w:ascii="Times New Roman" w:eastAsia="Times New Roman" w:hAnsi="Times New Roman" w:cs="Times New Roman"/>
      <w:color w:val="221F1F"/>
      <w:sz w:val="24"/>
    </w:rPr>
  </w:style>
  <w:style w:type="paragraph" w:styleId="BalloonText">
    <w:name w:val="Balloon Text"/>
    <w:basedOn w:val="Normal"/>
    <w:link w:val="BalloonTextChar"/>
    <w:uiPriority w:val="99"/>
    <w:semiHidden/>
    <w:unhideWhenUsed/>
    <w:rsid w:val="0084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19"/>
    <w:rPr>
      <w:rFonts w:ascii="Segoe UI" w:eastAsia="Times New Roman" w:hAnsi="Segoe UI" w:cs="Segoe UI"/>
      <w:color w:val="221F1F"/>
      <w:sz w:val="18"/>
      <w:szCs w:val="18"/>
    </w:rPr>
  </w:style>
  <w:style w:type="character" w:styleId="CommentReference">
    <w:name w:val="annotation reference"/>
    <w:basedOn w:val="DefaultParagraphFont"/>
    <w:uiPriority w:val="99"/>
    <w:semiHidden/>
    <w:unhideWhenUsed/>
    <w:rsid w:val="006F0D6C"/>
    <w:rPr>
      <w:sz w:val="16"/>
      <w:szCs w:val="16"/>
    </w:rPr>
  </w:style>
  <w:style w:type="paragraph" w:styleId="CommentText">
    <w:name w:val="annotation text"/>
    <w:basedOn w:val="Normal"/>
    <w:link w:val="CommentTextChar"/>
    <w:uiPriority w:val="99"/>
    <w:semiHidden/>
    <w:unhideWhenUsed/>
    <w:rsid w:val="006F0D6C"/>
    <w:pPr>
      <w:spacing w:line="240" w:lineRule="auto"/>
    </w:pPr>
    <w:rPr>
      <w:sz w:val="20"/>
      <w:szCs w:val="20"/>
    </w:rPr>
  </w:style>
  <w:style w:type="character" w:customStyle="1" w:styleId="CommentTextChar">
    <w:name w:val="Comment Text Char"/>
    <w:basedOn w:val="DefaultParagraphFont"/>
    <w:link w:val="CommentText"/>
    <w:uiPriority w:val="99"/>
    <w:semiHidden/>
    <w:rsid w:val="006F0D6C"/>
    <w:rPr>
      <w:rFonts w:ascii="Times New Roman" w:eastAsia="Times New Roman" w:hAnsi="Times New Roman" w:cs="Times New Roman"/>
      <w:color w:val="221F1F"/>
      <w:sz w:val="20"/>
      <w:szCs w:val="20"/>
    </w:rPr>
  </w:style>
  <w:style w:type="paragraph" w:styleId="CommentSubject">
    <w:name w:val="annotation subject"/>
    <w:basedOn w:val="CommentText"/>
    <w:next w:val="CommentText"/>
    <w:link w:val="CommentSubjectChar"/>
    <w:uiPriority w:val="99"/>
    <w:semiHidden/>
    <w:unhideWhenUsed/>
    <w:rsid w:val="006F0D6C"/>
    <w:rPr>
      <w:b/>
      <w:bCs/>
    </w:rPr>
  </w:style>
  <w:style w:type="character" w:customStyle="1" w:styleId="CommentSubjectChar">
    <w:name w:val="Comment Subject Char"/>
    <w:basedOn w:val="CommentTextChar"/>
    <w:link w:val="CommentSubject"/>
    <w:uiPriority w:val="99"/>
    <w:semiHidden/>
    <w:rsid w:val="006F0D6C"/>
    <w:rPr>
      <w:rFonts w:ascii="Times New Roman" w:eastAsia="Times New Roman" w:hAnsi="Times New Roman" w:cs="Times New Roman"/>
      <w:b/>
      <w:bCs/>
      <w:color w:val="221F1F"/>
      <w:sz w:val="20"/>
      <w:szCs w:val="20"/>
    </w:rPr>
  </w:style>
  <w:style w:type="paragraph" w:styleId="Revision">
    <w:name w:val="Revision"/>
    <w:hidden/>
    <w:uiPriority w:val="99"/>
    <w:semiHidden/>
    <w:rsid w:val="006F0D6C"/>
    <w:pPr>
      <w:spacing w:after="0" w:line="240" w:lineRule="auto"/>
    </w:pPr>
    <w:rPr>
      <w:rFonts w:ascii="Times New Roman" w:eastAsia="Times New Roman" w:hAnsi="Times New Roman" w:cs="Times New Roman"/>
      <w:color w:val="221F1F"/>
      <w:sz w:val="24"/>
    </w:rPr>
  </w:style>
  <w:style w:type="character" w:styleId="PageNumber">
    <w:name w:val="page number"/>
    <w:basedOn w:val="DefaultParagraphFont"/>
    <w:rsid w:val="002E6AA5"/>
  </w:style>
  <w:style w:type="paragraph" w:styleId="TOC1">
    <w:name w:val="toc 1"/>
    <w:basedOn w:val="Normal"/>
    <w:next w:val="Normal"/>
    <w:autoRedefine/>
    <w:uiPriority w:val="39"/>
    <w:rsid w:val="00D44E0F"/>
    <w:pPr>
      <w:tabs>
        <w:tab w:val="left" w:pos="720"/>
        <w:tab w:val="left" w:pos="1080"/>
        <w:tab w:val="left" w:pos="1440"/>
        <w:tab w:val="right" w:leader="dot" w:pos="10070"/>
      </w:tabs>
      <w:spacing w:after="0" w:line="240" w:lineRule="auto"/>
      <w:ind w:left="0" w:firstLine="0"/>
      <w:jc w:val="both"/>
    </w:pPr>
    <w:rPr>
      <w:color w:val="auto"/>
      <w:szCs w:val="20"/>
    </w:rPr>
  </w:style>
  <w:style w:type="paragraph" w:styleId="Quote">
    <w:name w:val="Quote"/>
    <w:basedOn w:val="Normal"/>
    <w:next w:val="Normal"/>
    <w:link w:val="QuoteChar"/>
    <w:uiPriority w:val="29"/>
    <w:qFormat/>
    <w:rsid w:val="00E01A4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1A4A"/>
    <w:rPr>
      <w:rFonts w:ascii="Times New Roman" w:eastAsia="Times New Roman" w:hAnsi="Times New Roman" w:cs="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2" Type="http://schemas.openxmlformats.org/officeDocument/2006/relationships/hyperlink" Target="http://www.imdb.com/name/nm0426330/?ref_=fn_al_nm_1" TargetMode="External"/><Relationship Id="rId1" Type="http://schemas.openxmlformats.org/officeDocument/2006/relationships/hyperlink" Target="http://www.nwsccc.org/files/nwsccc/files/NWCT%202014%20Annual%20Programming%20Report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6314-4581-465A-8648-D1D1300C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Casey Lide</cp:lastModifiedBy>
  <cp:revision>2</cp:revision>
  <cp:lastPrinted>2015-04-01T16:12:00Z</cp:lastPrinted>
  <dcterms:created xsi:type="dcterms:W3CDTF">2015-04-24T18:43:00Z</dcterms:created>
  <dcterms:modified xsi:type="dcterms:W3CDTF">2015-04-24T18:43:00Z</dcterms:modified>
</cp:coreProperties>
</file>